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614E" w14:textId="059D5FE5" w:rsidR="00AC0A2E" w:rsidRPr="00074B87" w:rsidRDefault="00C01EDD" w:rsidP="00A05EF7">
      <w:pPr>
        <w:spacing w:after="0"/>
        <w:rPr>
          <w:b/>
          <w:sz w:val="21"/>
          <w:szCs w:val="21"/>
          <w:lang w:val="ru-RU"/>
        </w:rPr>
      </w:pPr>
      <w:r w:rsidRPr="00074B87">
        <w:rPr>
          <w:b/>
          <w:noProof/>
          <w:sz w:val="21"/>
          <w:szCs w:val="21"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C288B" wp14:editId="2481419B">
                <wp:simplePos x="0" y="0"/>
                <wp:positionH relativeFrom="column">
                  <wp:posOffset>552450</wp:posOffset>
                </wp:positionH>
                <wp:positionV relativeFrom="paragraph">
                  <wp:posOffset>3427136</wp:posOffset>
                </wp:positionV>
                <wp:extent cx="4555490" cy="21913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490" cy="219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C3CC3" w14:textId="23323C41" w:rsidR="00074B87" w:rsidRPr="009F3108" w:rsidRDefault="00074B87" w:rsidP="00C01EDD">
                            <w:pPr>
                              <w:jc w:val="center"/>
                              <w:rPr>
                                <w:sz w:val="64"/>
                                <w:szCs w:val="64"/>
                                <w:lang w:val="ru-RU"/>
                              </w:rPr>
                            </w:pPr>
                            <w:r w:rsidRPr="009F3108">
                              <w:rPr>
                                <w:sz w:val="56"/>
                                <w:szCs w:val="56"/>
                                <w:lang w:val="ru-RU"/>
                              </w:rPr>
                              <w:t>Руководящие указания  по укреплению потенциала в области локализации</w:t>
                            </w:r>
                            <w:r w:rsidRPr="009F3108">
                              <w:rPr>
                                <w:sz w:val="64"/>
                                <w:szCs w:val="64"/>
                                <w:lang w:val="ru-RU"/>
                              </w:rPr>
                              <w:t xml:space="preserve"> </w:t>
                            </w:r>
                            <w:r w:rsidRPr="009F3108">
                              <w:rPr>
                                <w:sz w:val="56"/>
                                <w:szCs w:val="56"/>
                                <w:lang w:val="ru-RU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3.5pt;margin-top:269.85pt;width:358.7pt;height:17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" filled="f" stroked="f" strokeweight=".5pt">
                <v:textbox>
                  <w:txbxContent>
                    <w:p w14:paraId="023C3CC3" w14:textId="23323C41" w:rsidR="00681438" w:rsidRPr="009F3108" w:rsidRDefault="00681438" w:rsidP="00C01EDD">
                      <w:pPr>
                        <w:jc w:val="center"/>
                        <w:rPr>
                          <w:sz w:val="64"/>
                          <w:szCs w:val="64"/>
                          <w:lang w:val="ru-RU"/>
                        </w:rPr>
                      </w:pPr>
                      <w:r w:rsidRPr="009F3108">
                        <w:rPr>
                          <w:sz w:val="56"/>
                          <w:szCs w:val="56"/>
                          <w:lang w:val="ru-RU"/>
                        </w:rPr>
                        <w:t>Руководящие указания  по укреплению потенциала в области локализации</w:t>
                      </w:r>
                      <w:r w:rsidRPr="009F3108">
                        <w:rPr>
                          <w:sz w:val="64"/>
                          <w:szCs w:val="64"/>
                          <w:lang w:val="ru-RU"/>
                        </w:rPr>
                        <w:t xml:space="preserve"> </w:t>
                      </w:r>
                      <w:r w:rsidRPr="009F3108">
                        <w:rPr>
                          <w:sz w:val="56"/>
                          <w:szCs w:val="56"/>
                          <w:lang w:val="ru-RU"/>
                        </w:rPr>
                        <w:t>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074B87">
        <w:rPr>
          <w:b/>
          <w:noProof/>
          <w:sz w:val="21"/>
          <w:szCs w:val="21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6D494" wp14:editId="2430645A">
                <wp:simplePos x="0" y="0"/>
                <wp:positionH relativeFrom="column">
                  <wp:posOffset>4275004</wp:posOffset>
                </wp:positionH>
                <wp:positionV relativeFrom="paragraph">
                  <wp:posOffset>7105609</wp:posOffset>
                </wp:positionV>
                <wp:extent cx="3509645" cy="377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64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A6367" w14:textId="643FF21F" w:rsidR="00074B87" w:rsidRPr="009F3108" w:rsidRDefault="00074B87" w:rsidP="00C01E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Дата публикации: май</w:t>
                            </w:r>
                            <w:r w:rsidRPr="009F3108">
                              <w:rPr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6.6pt;margin-top:559.5pt;width:276.35pt;height:2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" filled="f" stroked="f" strokeweight=".5pt">
                <v:textbox>
                  <w:txbxContent>
                    <w:p w14:paraId="30CA6367" w14:textId="643FF21F" w:rsidR="00681438" w:rsidRPr="009F3108" w:rsidRDefault="00681438" w:rsidP="00C01EDD">
                      <w:pPr>
                        <w:rPr>
                          <w:b/>
                          <w:bCs/>
                          <w:sz w:val="24"/>
                          <w:szCs w:val="24"/>
                          <w:lang w:val="fr-CH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H"/>
                        </w:rPr>
                        <w:t>Дата публикации: май</w:t>
                      </w:r>
                      <w:r w:rsidRPr="009F3108">
                        <w:rPr>
                          <w:b/>
                          <w:bCs/>
                          <w:sz w:val="24"/>
                          <w:szCs w:val="24"/>
                          <w:lang w:val="fr-CH"/>
                        </w:rPr>
                        <w:t xml:space="preserve"> 2020 года</w:t>
                      </w:r>
                    </w:p>
                  </w:txbxContent>
                </v:textbox>
              </v:shape>
            </w:pict>
          </mc:Fallback>
        </mc:AlternateContent>
      </w:r>
      <w:r w:rsidRPr="00074B87">
        <w:rPr>
          <w:b/>
          <w:noProof/>
          <w:sz w:val="21"/>
          <w:szCs w:val="21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D6A05" wp14:editId="4BFBC309">
                <wp:simplePos x="0" y="0"/>
                <wp:positionH relativeFrom="column">
                  <wp:posOffset>-1810487</wp:posOffset>
                </wp:positionH>
                <wp:positionV relativeFrom="paragraph">
                  <wp:posOffset>7062511</wp:posOffset>
                </wp:positionV>
                <wp:extent cx="11128375" cy="3684905"/>
                <wp:effectExtent l="279400" t="2057400" r="250825" b="2055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5804">
                          <a:off x="0" y="0"/>
                          <a:ext cx="11128375" cy="36849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F230F" id="Rectangle 4" o:spid="_x0000_s1026" style="position:absolute;margin-left:-142.55pt;margin-top:556.1pt;width:876.25pt;height:290.15pt;rotation:-152283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" fillcolor="#ffc000 [3207]" strokecolor="#1f3763 [1604]" strokeweight="1pt"/>
            </w:pict>
          </mc:Fallback>
        </mc:AlternateContent>
      </w:r>
      <w:r w:rsidRPr="00074B87">
        <w:rPr>
          <w:b/>
          <w:noProof/>
          <w:sz w:val="21"/>
          <w:szCs w:val="21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BA992" wp14:editId="342EECA8">
                <wp:simplePos x="0" y="0"/>
                <wp:positionH relativeFrom="column">
                  <wp:posOffset>-632460</wp:posOffset>
                </wp:positionH>
                <wp:positionV relativeFrom="paragraph">
                  <wp:posOffset>-415659</wp:posOffset>
                </wp:positionV>
                <wp:extent cx="3509645" cy="13442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645" cy="134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2559F" w14:textId="5D45D009" w:rsidR="00074B87" w:rsidRPr="009F3108" w:rsidRDefault="00074B87" w:rsidP="00C01EDD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9F3108">
                              <w:rPr>
                                <w:rFonts w:ascii="Montserrat" w:hAnsi="Montserrat"/>
                                <w:b/>
                                <w:bCs/>
                                <w:color w:val="011E41"/>
                                <w:sz w:val="36"/>
                                <w:szCs w:val="36"/>
                                <w:lang w:val="ru-RU"/>
                              </w:rPr>
                              <w:t xml:space="preserve">Большая сделка Локализация деятельности </w:t>
                            </w:r>
                          </w:p>
                          <w:p w14:paraId="078B920D" w14:textId="77777777" w:rsidR="00074B87" w:rsidRPr="0049040A" w:rsidRDefault="00074B87" w:rsidP="00C01E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49.75pt;margin-top:-32.7pt;width:276.35pt;height:10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" filled="f" stroked="f" strokeweight=".5pt">
                <v:textbox>
                  <w:txbxContent>
                    <w:p w14:paraId="4FB2559F" w14:textId="5D45D009" w:rsidR="00681438" w:rsidRPr="009F3108" w:rsidRDefault="00681438" w:rsidP="00C01EDD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lang w:val="ru-RU"/>
                        </w:rPr>
                      </w:pPr>
                      <w:r w:rsidRPr="009F3108">
                        <w:rPr>
                          <w:rFonts w:ascii="Montserrat" w:hAnsi="Montserrat"/>
                          <w:b/>
                          <w:bCs/>
                          <w:color w:val="011E41"/>
                          <w:sz w:val="36"/>
                          <w:szCs w:val="36"/>
                          <w:lang w:val="ru-RU"/>
                        </w:rPr>
                        <w:t xml:space="preserve">Большая сделка Локализация деятельности </w:t>
                      </w:r>
                    </w:p>
                    <w:p w14:paraId="078B920D" w14:textId="77777777" w:rsidR="00681438" w:rsidRPr="0049040A" w:rsidRDefault="00681438" w:rsidP="00C01ED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4B87">
        <w:rPr>
          <w:b/>
          <w:noProof/>
          <w:sz w:val="21"/>
          <w:szCs w:val="21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A674F0" wp14:editId="0667823B">
                <wp:simplePos x="0" y="0"/>
                <wp:positionH relativeFrom="column">
                  <wp:posOffset>-4014573</wp:posOffset>
                </wp:positionH>
                <wp:positionV relativeFrom="paragraph">
                  <wp:posOffset>-1865282</wp:posOffset>
                </wp:positionV>
                <wp:extent cx="11128375" cy="3684905"/>
                <wp:effectExtent l="279400" t="2057400" r="250825" b="2055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5804">
                          <a:off x="0" y="0"/>
                          <a:ext cx="11128375" cy="36849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6858B" id="Rectangle 3" o:spid="_x0000_s1026" style="position:absolute;margin-left:-316.1pt;margin-top:-146.85pt;width:876.25pt;height:290.15pt;rotation:-152283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" fillcolor="#ffc000 [3207]" strokecolor="#1f3763 [1604]" strokeweight="1pt"/>
            </w:pict>
          </mc:Fallback>
        </mc:AlternateContent>
      </w:r>
      <w:r w:rsidR="00AC0A2E" w:rsidRPr="00074B87">
        <w:rPr>
          <w:b/>
          <w:sz w:val="21"/>
          <w:szCs w:val="21"/>
          <w:lang w:val="ru-RU"/>
        </w:rPr>
        <w:br w:type="page"/>
      </w:r>
    </w:p>
    <w:p w14:paraId="31286A18" w14:textId="7806AEEC" w:rsidR="008B3C86" w:rsidRPr="00074B87" w:rsidRDefault="009F3108" w:rsidP="00A05EF7">
      <w:pPr>
        <w:spacing w:after="0"/>
        <w:rPr>
          <w:rFonts w:eastAsiaTheme="majorEastAsia" w:cs="Times New Roman"/>
          <w:b/>
          <w:bCs/>
          <w:color w:val="011E41"/>
          <w:lang w:val="ru-RU"/>
        </w:rPr>
      </w:pPr>
      <w:r w:rsidRPr="00074B87">
        <w:rPr>
          <w:rFonts w:eastAsiaTheme="majorEastAsia" w:cs="Times New Roman"/>
          <w:b/>
          <w:bCs/>
          <w:color w:val="011E41"/>
          <w:lang w:val="ru-RU"/>
        </w:rPr>
        <w:lastRenderedPageBreak/>
        <w:t>Руководящие указания по укреплению потенциала в области локализации деятельности</w:t>
      </w:r>
    </w:p>
    <w:p w14:paraId="782802A7" w14:textId="77777777" w:rsidR="00644A4B" w:rsidRPr="00074B87" w:rsidRDefault="00644A4B" w:rsidP="00A05EF7">
      <w:pPr>
        <w:spacing w:after="0"/>
        <w:jc w:val="both"/>
        <w:rPr>
          <w:rFonts w:cs="Times New Roman"/>
          <w:b/>
          <w:sz w:val="21"/>
          <w:szCs w:val="21"/>
          <w:lang w:val="ru-RU"/>
        </w:rPr>
      </w:pPr>
    </w:p>
    <w:p w14:paraId="3417F5DA" w14:textId="0AF2C999" w:rsidR="007923C5" w:rsidRPr="00074B87" w:rsidRDefault="009F3108" w:rsidP="00A05EF7">
      <w:pPr>
        <w:spacing w:after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 xml:space="preserve">Данные </w:t>
      </w:r>
      <w:r w:rsidR="0061528D" w:rsidRPr="00074B87">
        <w:rPr>
          <w:rFonts w:cs="Times New Roman"/>
          <w:sz w:val="20"/>
          <w:szCs w:val="20"/>
          <w:lang w:val="ru-RU"/>
        </w:rPr>
        <w:t>руководящие</w:t>
      </w:r>
      <w:r w:rsidR="002A7CFC" w:rsidRPr="00074B87">
        <w:rPr>
          <w:rFonts w:cs="Times New Roman"/>
          <w:sz w:val="20"/>
          <w:szCs w:val="20"/>
          <w:lang w:val="ru-RU"/>
        </w:rPr>
        <w:t xml:space="preserve"> указания обобщают</w:t>
      </w:r>
      <w:r w:rsidRPr="00074B87">
        <w:rPr>
          <w:rFonts w:cs="Times New Roman"/>
          <w:sz w:val="20"/>
          <w:szCs w:val="20"/>
          <w:lang w:val="ru-RU"/>
        </w:rPr>
        <w:t xml:space="preserve"> рекомендации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по укреплению пот</w:t>
      </w:r>
      <w:r w:rsidR="002A7CFC" w:rsidRPr="00074B87">
        <w:rPr>
          <w:rFonts w:cs="Times New Roman"/>
          <w:sz w:val="20"/>
          <w:szCs w:val="20"/>
          <w:lang w:val="ru-RU"/>
        </w:rPr>
        <w:t>енциала, подготовленные в ходе</w:t>
      </w:r>
      <w:r w:rsidR="000B3C3A" w:rsidRPr="00074B87">
        <w:rPr>
          <w:rFonts w:cs="Times New Roman"/>
          <w:sz w:val="20"/>
          <w:szCs w:val="20"/>
          <w:lang w:val="ru-RU"/>
        </w:rPr>
        <w:t xml:space="preserve"> трех </w:t>
      </w:r>
      <w:r w:rsidR="0061528D" w:rsidRPr="00074B87">
        <w:rPr>
          <w:rFonts w:cs="Times New Roman"/>
          <w:sz w:val="20"/>
          <w:szCs w:val="20"/>
          <w:lang w:val="ru-RU"/>
        </w:rPr>
        <w:t>региональных семинаров, организованных</w:t>
      </w:r>
      <w:r w:rsidR="00264CA3" w:rsidRPr="00074B87">
        <w:rPr>
          <w:rFonts w:cs="Times New Roman"/>
          <w:sz w:val="20"/>
          <w:szCs w:val="20"/>
          <w:lang w:val="ru-RU"/>
        </w:rPr>
        <w:t xml:space="preserve"> </w:t>
      </w:r>
      <w:r w:rsidR="002A7CFC" w:rsidRPr="00074B87">
        <w:rPr>
          <w:rFonts w:cs="Times New Roman"/>
          <w:sz w:val="20"/>
          <w:szCs w:val="20"/>
          <w:lang w:val="ru-RU"/>
        </w:rPr>
        <w:t>в</w:t>
      </w:r>
      <w:r w:rsidR="00681438" w:rsidRPr="00074B87">
        <w:rPr>
          <w:rFonts w:cs="Times New Roman"/>
          <w:sz w:val="20"/>
          <w:szCs w:val="20"/>
          <w:lang w:val="ru-RU"/>
        </w:rPr>
        <w:t xml:space="preserve"> 2019 году</w:t>
      </w:r>
      <w:r w:rsidR="002A7CFC" w:rsidRPr="00074B87">
        <w:rPr>
          <w:rFonts w:cs="Times New Roman"/>
          <w:sz w:val="20"/>
          <w:szCs w:val="20"/>
          <w:lang w:val="ru-RU"/>
        </w:rPr>
        <w:t xml:space="preserve"> </w:t>
      </w:r>
      <w:r w:rsidR="00BE5956" w:rsidRPr="00074B87">
        <w:rPr>
          <w:rFonts w:cs="Times New Roman"/>
          <w:sz w:val="20"/>
          <w:szCs w:val="20"/>
          <w:lang w:val="ru-RU"/>
        </w:rPr>
        <w:t xml:space="preserve">в </w:t>
      </w:r>
      <w:r w:rsidR="002A7CFC" w:rsidRPr="00074B87">
        <w:rPr>
          <w:rFonts w:cs="Times New Roman"/>
          <w:sz w:val="20"/>
          <w:szCs w:val="20"/>
          <w:lang w:val="ru-RU"/>
        </w:rPr>
        <w:t>рамках рабочего процесса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по локализации деятельности</w:t>
      </w:r>
      <w:r w:rsidR="002A7CFC" w:rsidRPr="00074B87">
        <w:rPr>
          <w:rFonts w:cs="Times New Roman"/>
          <w:sz w:val="20"/>
          <w:szCs w:val="20"/>
          <w:lang w:val="ru-RU"/>
        </w:rPr>
        <w:t>, предусмотренного</w:t>
      </w:r>
      <w:r w:rsidR="000B3C3A" w:rsidRPr="00074B87">
        <w:rPr>
          <w:rFonts w:cs="Times New Roman"/>
          <w:sz w:val="20"/>
          <w:szCs w:val="20"/>
          <w:lang w:val="ru-RU"/>
        </w:rPr>
        <w:t xml:space="preserve"> </w:t>
      </w:r>
      <w:r w:rsidR="002A7CFC" w:rsidRPr="00074B87">
        <w:rPr>
          <w:rFonts w:cs="Times New Roman"/>
          <w:sz w:val="20"/>
          <w:szCs w:val="20"/>
          <w:lang w:val="ru-RU"/>
        </w:rPr>
        <w:t>соглашением</w:t>
      </w:r>
      <w:r w:rsidR="0061528D" w:rsidRPr="00074B87">
        <w:rPr>
          <w:rFonts w:cs="Times New Roman"/>
          <w:sz w:val="20"/>
          <w:szCs w:val="20"/>
          <w:lang w:val="ru-RU"/>
        </w:rPr>
        <w:t xml:space="preserve"> </w:t>
      </w:r>
      <w:r w:rsidR="0061528D" w:rsidRPr="00074B87">
        <w:rPr>
          <w:rFonts w:cs="Times New Roman"/>
          <w:sz w:val="20"/>
          <w:szCs w:val="20"/>
          <w:lang w:val="en-US"/>
        </w:rPr>
        <w:t>“</w:t>
      </w:r>
      <w:r w:rsidR="0061528D" w:rsidRPr="00074B87">
        <w:rPr>
          <w:rFonts w:cs="Times New Roman"/>
          <w:sz w:val="20"/>
          <w:szCs w:val="20"/>
          <w:lang w:val="ru-RU"/>
        </w:rPr>
        <w:t>Большая сделка</w:t>
      </w:r>
      <w:r w:rsidR="0061528D" w:rsidRPr="00074B87">
        <w:rPr>
          <w:rFonts w:cs="Times New Roman"/>
          <w:sz w:val="20"/>
          <w:szCs w:val="20"/>
          <w:lang w:val="en-US"/>
        </w:rPr>
        <w:t>”</w:t>
      </w:r>
      <w:r w:rsidR="002A7CFC" w:rsidRPr="00074B87">
        <w:rPr>
          <w:rFonts w:cs="Times New Roman"/>
          <w:sz w:val="20"/>
          <w:szCs w:val="20"/>
          <w:lang w:val="en-US"/>
        </w:rPr>
        <w:t>,</w:t>
      </w:r>
      <w:r w:rsidR="000B3C3A" w:rsidRPr="00074B87">
        <w:rPr>
          <w:rFonts w:cs="Times New Roman"/>
          <w:sz w:val="20"/>
          <w:szCs w:val="20"/>
          <w:lang w:val="ru-RU"/>
        </w:rPr>
        <w:t xml:space="preserve"> с участием </w:t>
      </w:r>
      <w:r w:rsidR="0061528D" w:rsidRPr="00074B87">
        <w:rPr>
          <w:rFonts w:cs="Times New Roman"/>
          <w:sz w:val="20"/>
          <w:szCs w:val="20"/>
          <w:lang w:val="ru-RU"/>
        </w:rPr>
        <w:t>представителей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местных и </w:t>
      </w:r>
      <w:r w:rsidR="0061528D" w:rsidRPr="00074B87">
        <w:rPr>
          <w:rFonts w:cs="Times New Roman"/>
          <w:sz w:val="20"/>
          <w:szCs w:val="20"/>
          <w:lang w:val="ru-RU"/>
        </w:rPr>
        <w:t>национальных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НПО, </w:t>
      </w:r>
      <w:r w:rsidR="0061528D" w:rsidRPr="00074B87">
        <w:rPr>
          <w:rFonts w:cs="Times New Roman"/>
          <w:sz w:val="20"/>
          <w:szCs w:val="20"/>
          <w:lang w:val="ru-RU"/>
        </w:rPr>
        <w:t>международных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НПО, </w:t>
      </w:r>
      <w:r w:rsidR="0061528D" w:rsidRPr="00074B87">
        <w:rPr>
          <w:rFonts w:cs="Times New Roman"/>
          <w:sz w:val="20"/>
          <w:szCs w:val="20"/>
          <w:lang w:val="ru-RU"/>
        </w:rPr>
        <w:t>правительственных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и </w:t>
      </w:r>
      <w:r w:rsidR="0061528D" w:rsidRPr="00074B87">
        <w:rPr>
          <w:rFonts w:cs="Times New Roman"/>
          <w:sz w:val="20"/>
          <w:szCs w:val="20"/>
          <w:lang w:val="ru-RU"/>
        </w:rPr>
        <w:t>региональных</w:t>
      </w:r>
      <w:r w:rsidR="000B3C3A" w:rsidRPr="00074B87">
        <w:rPr>
          <w:rFonts w:cs="Times New Roman"/>
          <w:sz w:val="20"/>
          <w:szCs w:val="20"/>
          <w:lang w:val="ru-RU"/>
        </w:rPr>
        <w:t xml:space="preserve"> финансовых доноров и </w:t>
      </w:r>
      <w:r w:rsidR="0061528D" w:rsidRPr="00074B87">
        <w:rPr>
          <w:rFonts w:cs="Times New Roman"/>
          <w:sz w:val="20"/>
          <w:szCs w:val="20"/>
          <w:lang w:val="ru-RU"/>
        </w:rPr>
        <w:t>подразделений</w:t>
      </w:r>
      <w:r w:rsidR="002A7CFC" w:rsidRPr="00074B87">
        <w:rPr>
          <w:rFonts w:cs="Times New Roman"/>
          <w:sz w:val="20"/>
          <w:szCs w:val="20"/>
          <w:lang w:val="ru-RU"/>
        </w:rPr>
        <w:t xml:space="preserve"> ООН. При их подготовке</w:t>
      </w:r>
      <w:r w:rsidR="0061528D" w:rsidRPr="00074B87">
        <w:rPr>
          <w:rFonts w:cs="Times New Roman"/>
          <w:sz w:val="20"/>
          <w:szCs w:val="20"/>
          <w:lang w:val="ru-RU"/>
        </w:rPr>
        <w:t xml:space="preserve"> также учитывались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важнейшие выводы исследоват</w:t>
      </w:r>
      <w:r w:rsidR="0061528D" w:rsidRPr="00074B87">
        <w:rPr>
          <w:rFonts w:cs="Times New Roman"/>
          <w:sz w:val="20"/>
          <w:szCs w:val="20"/>
          <w:lang w:val="ru-RU"/>
        </w:rPr>
        <w:t>ельского проекта, реализованного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Группой гуманитарной политики Института развития зарубежных стран с 2017 </w:t>
      </w:r>
      <w:r w:rsidR="0061528D" w:rsidRPr="00074B87">
        <w:rPr>
          <w:rFonts w:cs="Times New Roman"/>
          <w:sz w:val="20"/>
          <w:szCs w:val="20"/>
          <w:lang w:val="ru-RU"/>
        </w:rPr>
        <w:t>по 2</w:t>
      </w:r>
      <w:r w:rsidR="000B3C3A" w:rsidRPr="00074B87">
        <w:rPr>
          <w:rFonts w:cs="Times New Roman"/>
          <w:sz w:val="20"/>
          <w:szCs w:val="20"/>
          <w:lang w:val="ru-RU"/>
        </w:rPr>
        <w:t xml:space="preserve">019 годы, в </w:t>
      </w:r>
      <w:r w:rsidR="0061528D" w:rsidRPr="00074B87">
        <w:rPr>
          <w:rFonts w:cs="Times New Roman"/>
          <w:sz w:val="20"/>
          <w:szCs w:val="20"/>
          <w:lang w:val="ru-RU"/>
        </w:rPr>
        <w:t>рамках</w:t>
      </w:r>
      <w:r w:rsidR="000B3C3A" w:rsidRPr="00074B87">
        <w:rPr>
          <w:rFonts w:cs="Times New Roman"/>
          <w:sz w:val="20"/>
          <w:szCs w:val="20"/>
          <w:lang w:val="ru-RU"/>
        </w:rPr>
        <w:t xml:space="preserve"> </w:t>
      </w:r>
      <w:r w:rsidR="0061528D" w:rsidRPr="00074B87">
        <w:rPr>
          <w:rFonts w:cs="Times New Roman"/>
          <w:sz w:val="20"/>
          <w:szCs w:val="20"/>
          <w:lang w:val="ru-RU"/>
        </w:rPr>
        <w:t>которого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изучалась проблема </w:t>
      </w:r>
      <w:r w:rsidR="0061528D" w:rsidRPr="00074B87">
        <w:rPr>
          <w:rFonts w:cs="Times New Roman"/>
          <w:sz w:val="20"/>
          <w:szCs w:val="20"/>
          <w:lang w:val="ru-RU"/>
        </w:rPr>
        <w:t xml:space="preserve">развития </w:t>
      </w:r>
      <w:r w:rsidR="000B3C3A" w:rsidRPr="00074B87">
        <w:rPr>
          <w:rFonts w:cs="Times New Roman"/>
          <w:sz w:val="20"/>
          <w:szCs w:val="20"/>
          <w:lang w:val="ru-RU"/>
        </w:rPr>
        <w:t>потенц</w:t>
      </w:r>
      <w:r w:rsidR="002A7CFC" w:rsidRPr="00074B87">
        <w:rPr>
          <w:rFonts w:cs="Times New Roman"/>
          <w:sz w:val="20"/>
          <w:szCs w:val="20"/>
          <w:lang w:val="ru-RU"/>
        </w:rPr>
        <w:t>иала и взаимодополняемости усилий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местны</w:t>
      </w:r>
      <w:r w:rsidR="002A7CFC" w:rsidRPr="00074B87">
        <w:rPr>
          <w:rFonts w:cs="Times New Roman"/>
          <w:sz w:val="20"/>
          <w:szCs w:val="20"/>
          <w:lang w:val="ru-RU"/>
        </w:rPr>
        <w:t>х</w:t>
      </w:r>
      <w:r w:rsidR="000B5BCA" w:rsidRPr="00074B87">
        <w:rPr>
          <w:rStyle w:val="a6"/>
          <w:rFonts w:cs="Times New Roman"/>
          <w:sz w:val="20"/>
          <w:szCs w:val="20"/>
          <w:lang w:val="ru-RU"/>
        </w:rPr>
        <w:footnoteReference w:id="1"/>
      </w:r>
      <w:r w:rsidR="000B3C3A" w:rsidRPr="00074B87">
        <w:rPr>
          <w:rFonts w:cs="Times New Roman"/>
          <w:sz w:val="20"/>
          <w:szCs w:val="20"/>
          <w:lang w:val="ru-RU"/>
        </w:rPr>
        <w:t xml:space="preserve"> и междуна</w:t>
      </w:r>
      <w:r w:rsidR="002A7CFC" w:rsidRPr="00074B87">
        <w:rPr>
          <w:rFonts w:cs="Times New Roman"/>
          <w:sz w:val="20"/>
          <w:szCs w:val="20"/>
          <w:lang w:val="ru-RU"/>
        </w:rPr>
        <w:t>родных структур</w:t>
      </w:r>
      <w:r w:rsidR="00840B30" w:rsidRPr="00074B87">
        <w:rPr>
          <w:rFonts w:cs="Times New Roman"/>
          <w:sz w:val="20"/>
          <w:szCs w:val="20"/>
          <w:lang w:val="ru-RU"/>
        </w:rPr>
        <w:t>, включая возможности более тщательной оценки потенциала и его использо</w:t>
      </w:r>
      <w:r w:rsidR="002A7CFC" w:rsidRPr="00074B87">
        <w:rPr>
          <w:rFonts w:cs="Times New Roman"/>
          <w:sz w:val="20"/>
          <w:szCs w:val="20"/>
          <w:lang w:val="ru-RU"/>
        </w:rPr>
        <w:t>вания для поддержки операций реагирования</w:t>
      </w:r>
      <w:r w:rsidR="00840B30" w:rsidRPr="00074B87">
        <w:rPr>
          <w:rFonts w:cs="Times New Roman"/>
          <w:sz w:val="20"/>
          <w:szCs w:val="20"/>
          <w:lang w:val="ru-RU"/>
        </w:rPr>
        <w:t xml:space="preserve"> на основе тесного сотрудничества</w:t>
      </w:r>
      <w:r w:rsidR="007D3558" w:rsidRPr="00074B87">
        <w:rPr>
          <w:rStyle w:val="a6"/>
          <w:rFonts w:cs="Times New Roman"/>
          <w:sz w:val="20"/>
          <w:szCs w:val="20"/>
          <w:lang w:val="ru-RU"/>
        </w:rPr>
        <w:footnoteReference w:id="2"/>
      </w:r>
      <w:r w:rsidR="004D7F0A" w:rsidRPr="00074B87">
        <w:rPr>
          <w:rFonts w:cs="Times New Roman"/>
          <w:sz w:val="20"/>
          <w:szCs w:val="20"/>
          <w:lang w:val="ru-RU"/>
        </w:rPr>
        <w:t xml:space="preserve">. </w:t>
      </w:r>
    </w:p>
    <w:p w14:paraId="21388452" w14:textId="35AD5271" w:rsidR="002A0D30" w:rsidRDefault="00840B30" w:rsidP="00A05EF7">
      <w:pPr>
        <w:spacing w:after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>Рук</w:t>
      </w:r>
      <w:r w:rsidR="00BF06C7" w:rsidRPr="00074B87">
        <w:rPr>
          <w:rFonts w:cs="Times New Roman"/>
          <w:sz w:val="20"/>
          <w:szCs w:val="20"/>
          <w:lang w:val="ru-RU"/>
        </w:rPr>
        <w:t>оводящие указания подготовлены в рамках рабочего процесса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по </w:t>
      </w:r>
      <w:r w:rsidRPr="00074B87">
        <w:rPr>
          <w:rFonts w:cs="Times New Roman"/>
          <w:sz w:val="20"/>
          <w:szCs w:val="20"/>
          <w:lang w:val="ru-RU"/>
        </w:rPr>
        <w:t>локализации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деятельности</w:t>
      </w:r>
      <w:r w:rsidR="00BF06C7" w:rsidRPr="00074B87">
        <w:rPr>
          <w:rFonts w:cs="Times New Roman"/>
          <w:sz w:val="20"/>
          <w:szCs w:val="20"/>
          <w:lang w:val="ru-RU"/>
        </w:rPr>
        <w:t>, предусмотренного соглашением</w:t>
      </w:r>
      <w:r w:rsidR="000B3C3A" w:rsidRPr="00074B87">
        <w:rPr>
          <w:rFonts w:cs="Times New Roman"/>
          <w:sz w:val="20"/>
          <w:szCs w:val="20"/>
          <w:lang w:val="ru-RU"/>
        </w:rPr>
        <w:t xml:space="preserve"> </w:t>
      </w:r>
      <w:r w:rsidRPr="00074B87">
        <w:rPr>
          <w:rFonts w:cs="Times New Roman"/>
          <w:sz w:val="20"/>
          <w:szCs w:val="20"/>
          <w:lang w:val="en-US"/>
        </w:rPr>
        <w:t>“</w:t>
      </w:r>
      <w:r w:rsidRPr="00074B87">
        <w:rPr>
          <w:rFonts w:cs="Times New Roman"/>
          <w:sz w:val="20"/>
          <w:szCs w:val="20"/>
          <w:lang w:val="ru-RU"/>
        </w:rPr>
        <w:t>Большая сделка</w:t>
      </w:r>
      <w:r w:rsidRPr="00074B87">
        <w:rPr>
          <w:rFonts w:cs="Times New Roman"/>
          <w:sz w:val="20"/>
          <w:szCs w:val="20"/>
          <w:lang w:val="en-US"/>
        </w:rPr>
        <w:t>”</w:t>
      </w:r>
      <w:r w:rsidR="000B3C3A" w:rsidRPr="00074B87">
        <w:rPr>
          <w:rFonts w:cs="Times New Roman"/>
          <w:sz w:val="20"/>
          <w:szCs w:val="20"/>
          <w:lang w:val="ru-RU"/>
        </w:rPr>
        <w:t>, однако</w:t>
      </w:r>
      <w:r w:rsidRPr="00074B87">
        <w:rPr>
          <w:rFonts w:cs="Times New Roman"/>
          <w:sz w:val="20"/>
          <w:szCs w:val="20"/>
          <w:lang w:val="ru-RU"/>
        </w:rPr>
        <w:t xml:space="preserve"> дан</w:t>
      </w:r>
      <w:r w:rsidR="00297C3D" w:rsidRPr="00074B87">
        <w:rPr>
          <w:rFonts w:cs="Times New Roman"/>
          <w:sz w:val="20"/>
          <w:szCs w:val="20"/>
          <w:lang w:val="ru-RU"/>
        </w:rPr>
        <w:t>ный документ не обязательно</w:t>
      </w:r>
      <w:r w:rsidRPr="00074B87">
        <w:rPr>
          <w:rFonts w:cs="Times New Roman"/>
          <w:sz w:val="20"/>
          <w:szCs w:val="20"/>
          <w:lang w:val="ru-RU"/>
        </w:rPr>
        <w:t xml:space="preserve"> отражает официальную поз</w:t>
      </w:r>
      <w:r w:rsidR="00BF06C7" w:rsidRPr="00074B87">
        <w:rPr>
          <w:rFonts w:cs="Times New Roman"/>
          <w:sz w:val="20"/>
          <w:szCs w:val="20"/>
          <w:lang w:val="ru-RU"/>
        </w:rPr>
        <w:t>ицию участников рабочего процесса</w:t>
      </w:r>
      <w:r w:rsidR="000B3C3A" w:rsidRPr="00074B87">
        <w:rPr>
          <w:rFonts w:cs="Times New Roman"/>
          <w:sz w:val="20"/>
          <w:szCs w:val="20"/>
          <w:lang w:val="ru-RU"/>
        </w:rPr>
        <w:t xml:space="preserve"> и </w:t>
      </w:r>
      <w:r w:rsidR="00BF06C7" w:rsidRPr="00074B87">
        <w:rPr>
          <w:rFonts w:cs="Times New Roman"/>
          <w:sz w:val="20"/>
          <w:szCs w:val="20"/>
          <w:lang w:val="ru-RU"/>
        </w:rPr>
        <w:t>координаторов усилий по реализации соглашения</w:t>
      </w:r>
      <w:r w:rsidR="00B743C1" w:rsidRPr="00074B87">
        <w:rPr>
          <w:rFonts w:cs="Times New Roman"/>
          <w:sz w:val="20"/>
          <w:szCs w:val="20"/>
          <w:lang w:val="ru-RU"/>
        </w:rPr>
        <w:t>.</w:t>
      </w:r>
    </w:p>
    <w:p w14:paraId="3F05992C" w14:textId="77777777" w:rsidR="00074B87" w:rsidRPr="00074B87" w:rsidRDefault="00074B87" w:rsidP="00A05EF7">
      <w:pPr>
        <w:spacing w:after="0"/>
        <w:jc w:val="both"/>
        <w:rPr>
          <w:rFonts w:cs="Times New Roman"/>
          <w:sz w:val="20"/>
          <w:szCs w:val="20"/>
          <w:lang w:val="ru-RU"/>
        </w:rPr>
      </w:pPr>
    </w:p>
    <w:p w14:paraId="55CE4D9B" w14:textId="2EC7B8B4" w:rsidR="00FD3A96" w:rsidRDefault="00573EDD" w:rsidP="00A05EF7">
      <w:pPr>
        <w:spacing w:after="0"/>
        <w:jc w:val="both"/>
        <w:rPr>
          <w:rFonts w:eastAsiaTheme="majorEastAsia" w:cs="Times New Roman"/>
          <w:b/>
          <w:bCs/>
          <w:color w:val="011E41"/>
          <w:lang w:val="ru-RU"/>
        </w:rPr>
      </w:pPr>
      <w:r w:rsidRPr="00074B87">
        <w:rPr>
          <w:rFonts w:eastAsiaTheme="majorEastAsia" w:cs="Times New Roman"/>
          <w:b/>
          <w:bCs/>
          <w:color w:val="011E41"/>
          <w:lang w:val="ru-RU"/>
        </w:rPr>
        <w:t>Понимание имеющегося</w:t>
      </w:r>
      <w:r w:rsidR="00253946" w:rsidRPr="00074B87">
        <w:rPr>
          <w:rFonts w:eastAsiaTheme="majorEastAsia" w:cs="Times New Roman"/>
          <w:b/>
          <w:bCs/>
          <w:color w:val="011E41"/>
          <w:lang w:val="ru-RU"/>
        </w:rPr>
        <w:t xml:space="preserve"> потенциала</w:t>
      </w:r>
    </w:p>
    <w:p w14:paraId="186DDD8D" w14:textId="77777777" w:rsidR="00074B87" w:rsidRPr="00074B87" w:rsidRDefault="00074B87" w:rsidP="00A05EF7">
      <w:pPr>
        <w:spacing w:after="0"/>
        <w:jc w:val="both"/>
        <w:rPr>
          <w:rFonts w:eastAsiaTheme="majorEastAsia" w:cs="Times New Roman"/>
          <w:b/>
          <w:bCs/>
          <w:color w:val="011E41"/>
          <w:lang w:val="ru-RU"/>
        </w:rPr>
      </w:pPr>
    </w:p>
    <w:p w14:paraId="4CF4A7D2" w14:textId="1A570346" w:rsidR="00895CA6" w:rsidRPr="00074B87" w:rsidRDefault="00253946" w:rsidP="00A05EF7">
      <w:pPr>
        <w:pStyle w:val="a3"/>
        <w:numPr>
          <w:ilvl w:val="0"/>
          <w:numId w:val="4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 xml:space="preserve">Потенциал, необходимый для </w:t>
      </w:r>
      <w:r w:rsidR="00573EDD" w:rsidRPr="00074B87">
        <w:rPr>
          <w:rFonts w:cs="Times New Roman"/>
          <w:sz w:val="20"/>
          <w:szCs w:val="20"/>
          <w:lang w:val="ru-RU"/>
        </w:rPr>
        <w:t>осуществления деятельности по облегчению</w:t>
      </w:r>
      <w:r w:rsidRPr="00074B87">
        <w:rPr>
          <w:rFonts w:cs="Times New Roman"/>
          <w:sz w:val="20"/>
          <w:szCs w:val="20"/>
          <w:lang w:val="ru-RU"/>
        </w:rPr>
        <w:t xml:space="preserve"> человеч</w:t>
      </w:r>
      <w:r w:rsidR="00573EDD" w:rsidRPr="00074B87">
        <w:rPr>
          <w:rFonts w:cs="Times New Roman"/>
          <w:sz w:val="20"/>
          <w:szCs w:val="20"/>
          <w:lang w:val="ru-RU"/>
        </w:rPr>
        <w:t>еских страданий, подразумевает соблюдение гуманитарных принцип</w:t>
      </w:r>
      <w:r w:rsidRPr="00074B87">
        <w:rPr>
          <w:rFonts w:cs="Times New Roman"/>
          <w:sz w:val="20"/>
          <w:szCs w:val="20"/>
          <w:lang w:val="ru-RU"/>
        </w:rPr>
        <w:t xml:space="preserve">ов, </w:t>
      </w:r>
      <w:r w:rsidR="00573EDD" w:rsidRPr="00074B87">
        <w:rPr>
          <w:rFonts w:cs="Times New Roman"/>
          <w:sz w:val="20"/>
          <w:szCs w:val="20"/>
          <w:lang w:val="ru-RU"/>
        </w:rPr>
        <w:t>способность осуществлять подготовку, предвосхищать и предоставлять своев</w:t>
      </w:r>
      <w:r w:rsidRPr="00074B87">
        <w:rPr>
          <w:rFonts w:cs="Times New Roman"/>
          <w:sz w:val="20"/>
          <w:szCs w:val="20"/>
          <w:lang w:val="ru-RU"/>
        </w:rPr>
        <w:t>р</w:t>
      </w:r>
      <w:r w:rsidR="00573EDD" w:rsidRPr="00074B87">
        <w:rPr>
          <w:rFonts w:cs="Times New Roman"/>
          <w:sz w:val="20"/>
          <w:szCs w:val="20"/>
          <w:lang w:val="ru-RU"/>
        </w:rPr>
        <w:t>е</w:t>
      </w:r>
      <w:r w:rsidRPr="00074B87">
        <w:rPr>
          <w:rFonts w:cs="Times New Roman"/>
          <w:sz w:val="20"/>
          <w:szCs w:val="20"/>
          <w:lang w:val="ru-RU"/>
        </w:rPr>
        <w:t>менные и рентабельн</w:t>
      </w:r>
      <w:r w:rsidR="00573EDD" w:rsidRPr="00074B87">
        <w:rPr>
          <w:rFonts w:cs="Times New Roman"/>
          <w:sz w:val="20"/>
          <w:szCs w:val="20"/>
          <w:lang w:val="ru-RU"/>
        </w:rPr>
        <w:t>ы</w:t>
      </w:r>
      <w:r w:rsidRPr="00074B87">
        <w:rPr>
          <w:rFonts w:cs="Times New Roman"/>
          <w:sz w:val="20"/>
          <w:szCs w:val="20"/>
          <w:lang w:val="ru-RU"/>
        </w:rPr>
        <w:t xml:space="preserve">е </w:t>
      </w:r>
      <w:r w:rsidR="00573EDD" w:rsidRPr="00074B87">
        <w:rPr>
          <w:rFonts w:cs="Times New Roman"/>
          <w:sz w:val="20"/>
          <w:szCs w:val="20"/>
          <w:lang w:val="ru-RU"/>
        </w:rPr>
        <w:t>г</w:t>
      </w:r>
      <w:r w:rsidRPr="00074B87">
        <w:rPr>
          <w:rFonts w:cs="Times New Roman"/>
          <w:sz w:val="20"/>
          <w:szCs w:val="20"/>
          <w:lang w:val="ru-RU"/>
        </w:rPr>
        <w:t>уманита</w:t>
      </w:r>
      <w:r w:rsidR="00573EDD" w:rsidRPr="00074B87">
        <w:rPr>
          <w:rFonts w:cs="Times New Roman"/>
          <w:sz w:val="20"/>
          <w:szCs w:val="20"/>
          <w:lang w:val="ru-RU"/>
        </w:rPr>
        <w:t>рные услуги должного качес</w:t>
      </w:r>
      <w:r w:rsidRPr="00074B87">
        <w:rPr>
          <w:rFonts w:cs="Times New Roman"/>
          <w:sz w:val="20"/>
          <w:szCs w:val="20"/>
          <w:lang w:val="ru-RU"/>
        </w:rPr>
        <w:t>т</w:t>
      </w:r>
      <w:r w:rsidR="00573EDD" w:rsidRPr="00074B87">
        <w:rPr>
          <w:rFonts w:cs="Times New Roman"/>
          <w:sz w:val="20"/>
          <w:szCs w:val="20"/>
          <w:lang w:val="ru-RU"/>
        </w:rPr>
        <w:t>ва</w:t>
      </w:r>
      <w:r w:rsidRPr="00074B87">
        <w:rPr>
          <w:rFonts w:cs="Times New Roman"/>
          <w:sz w:val="20"/>
          <w:szCs w:val="20"/>
          <w:lang w:val="ru-RU"/>
        </w:rPr>
        <w:t xml:space="preserve"> и укрепл</w:t>
      </w:r>
      <w:r w:rsidR="00573EDD" w:rsidRPr="00074B87">
        <w:rPr>
          <w:rFonts w:cs="Times New Roman"/>
          <w:sz w:val="20"/>
          <w:szCs w:val="20"/>
          <w:lang w:val="ru-RU"/>
        </w:rPr>
        <w:t>ять жизнестойко</w:t>
      </w:r>
      <w:r w:rsidR="00BF06C7" w:rsidRPr="00074B87">
        <w:rPr>
          <w:rFonts w:cs="Times New Roman"/>
          <w:sz w:val="20"/>
          <w:szCs w:val="20"/>
          <w:lang w:val="ru-RU"/>
        </w:rPr>
        <w:t>сть пострадавших сообществ</w:t>
      </w:r>
      <w:r w:rsidR="00573EDD" w:rsidRPr="00074B87">
        <w:rPr>
          <w:rFonts w:cs="Times New Roman"/>
          <w:sz w:val="20"/>
          <w:szCs w:val="20"/>
          <w:lang w:val="ru-RU"/>
        </w:rPr>
        <w:t>, а так</w:t>
      </w:r>
      <w:r w:rsidRPr="00074B87">
        <w:rPr>
          <w:rFonts w:cs="Times New Roman"/>
          <w:sz w:val="20"/>
          <w:szCs w:val="20"/>
          <w:lang w:val="ru-RU"/>
        </w:rPr>
        <w:t>ж</w:t>
      </w:r>
      <w:r w:rsidR="00573EDD" w:rsidRPr="00074B87">
        <w:rPr>
          <w:rFonts w:cs="Times New Roman"/>
          <w:sz w:val="20"/>
          <w:szCs w:val="20"/>
          <w:lang w:val="ru-RU"/>
        </w:rPr>
        <w:t>е</w:t>
      </w:r>
      <w:r w:rsidRPr="00074B87">
        <w:rPr>
          <w:rFonts w:cs="Times New Roman"/>
          <w:sz w:val="20"/>
          <w:szCs w:val="20"/>
          <w:lang w:val="ru-RU"/>
        </w:rPr>
        <w:t xml:space="preserve"> обеспечивать </w:t>
      </w:r>
      <w:r w:rsidR="00573EDD" w:rsidRPr="00074B87">
        <w:rPr>
          <w:rFonts w:cs="Times New Roman"/>
          <w:sz w:val="20"/>
          <w:szCs w:val="20"/>
          <w:lang w:val="ru-RU"/>
        </w:rPr>
        <w:t>управление ресурсами на</w:t>
      </w:r>
      <w:r w:rsidR="00BF06C7" w:rsidRPr="00074B87">
        <w:rPr>
          <w:rFonts w:cs="Times New Roman"/>
          <w:sz w:val="20"/>
          <w:szCs w:val="20"/>
          <w:lang w:val="ru-RU"/>
        </w:rPr>
        <w:t xml:space="preserve"> основе принципов прозрачности</w:t>
      </w:r>
      <w:r w:rsidR="00573EDD" w:rsidRPr="00074B87">
        <w:rPr>
          <w:rFonts w:cs="Times New Roman"/>
          <w:sz w:val="20"/>
          <w:szCs w:val="20"/>
          <w:lang w:val="ru-RU"/>
        </w:rPr>
        <w:t xml:space="preserve"> и отчетности</w:t>
      </w:r>
      <w:r w:rsidRPr="00074B87">
        <w:rPr>
          <w:rFonts w:cs="Times New Roman"/>
          <w:sz w:val="20"/>
          <w:szCs w:val="20"/>
          <w:lang w:val="ru-RU"/>
        </w:rPr>
        <w:t>.  Тем не менее, столь же важным является</w:t>
      </w:r>
      <w:r w:rsidR="00BF06C7" w:rsidRPr="00074B87">
        <w:rPr>
          <w:rFonts w:cs="Times New Roman"/>
          <w:sz w:val="20"/>
          <w:szCs w:val="20"/>
          <w:lang w:val="ru-RU"/>
        </w:rPr>
        <w:t xml:space="preserve"> </w:t>
      </w:r>
      <w:r w:rsidR="00573EDD" w:rsidRPr="00074B87">
        <w:rPr>
          <w:rFonts w:cs="Times New Roman"/>
          <w:sz w:val="20"/>
          <w:szCs w:val="20"/>
          <w:lang w:val="ru-RU"/>
        </w:rPr>
        <w:t>понимание оперативного контекста, способность</w:t>
      </w:r>
      <w:r w:rsidR="005B34C5" w:rsidRPr="00074B87">
        <w:rPr>
          <w:rFonts w:cs="Times New Roman"/>
          <w:sz w:val="20"/>
          <w:szCs w:val="20"/>
          <w:lang w:val="ru-RU"/>
        </w:rPr>
        <w:t xml:space="preserve"> по</w:t>
      </w:r>
      <w:r w:rsidRPr="00074B87">
        <w:rPr>
          <w:rFonts w:cs="Times New Roman"/>
          <w:sz w:val="20"/>
          <w:szCs w:val="20"/>
          <w:lang w:val="ru-RU"/>
        </w:rPr>
        <w:t xml:space="preserve">нимать </w:t>
      </w:r>
      <w:r w:rsidR="00BF06C7" w:rsidRPr="00074B87">
        <w:rPr>
          <w:rFonts w:cs="Times New Roman"/>
          <w:sz w:val="20"/>
          <w:szCs w:val="20"/>
          <w:lang w:val="ru-RU"/>
        </w:rPr>
        <w:t xml:space="preserve">потребности </w:t>
      </w:r>
      <w:r w:rsidRPr="00074B87">
        <w:rPr>
          <w:rFonts w:cs="Times New Roman"/>
          <w:sz w:val="20"/>
          <w:szCs w:val="20"/>
          <w:lang w:val="ru-RU"/>
        </w:rPr>
        <w:t xml:space="preserve">и эффективно </w:t>
      </w:r>
      <w:r w:rsidR="005B34C5" w:rsidRPr="00074B87">
        <w:rPr>
          <w:rFonts w:cs="Times New Roman"/>
          <w:sz w:val="20"/>
          <w:szCs w:val="20"/>
          <w:lang w:val="ru-RU"/>
        </w:rPr>
        <w:t>взаимодействовать</w:t>
      </w:r>
      <w:r w:rsidRPr="00074B87">
        <w:rPr>
          <w:rFonts w:cs="Times New Roman"/>
          <w:sz w:val="20"/>
          <w:szCs w:val="20"/>
          <w:lang w:val="ru-RU"/>
        </w:rPr>
        <w:t xml:space="preserve"> с </w:t>
      </w:r>
      <w:r w:rsidR="005B34C5" w:rsidRPr="00074B87">
        <w:rPr>
          <w:rFonts w:cs="Times New Roman"/>
          <w:sz w:val="20"/>
          <w:szCs w:val="20"/>
          <w:lang w:val="ru-RU"/>
        </w:rPr>
        <w:t>пострадавшими группами населения</w:t>
      </w:r>
      <w:r w:rsidRPr="00074B87">
        <w:rPr>
          <w:rFonts w:cs="Times New Roman"/>
          <w:sz w:val="20"/>
          <w:szCs w:val="20"/>
          <w:lang w:val="ru-RU"/>
        </w:rPr>
        <w:t xml:space="preserve"> и другими </w:t>
      </w:r>
      <w:r w:rsidR="005B34C5" w:rsidRPr="00074B87">
        <w:rPr>
          <w:rFonts w:cs="Times New Roman"/>
          <w:sz w:val="20"/>
          <w:szCs w:val="20"/>
          <w:lang w:val="ru-RU"/>
        </w:rPr>
        <w:t>заинтересованными</w:t>
      </w:r>
      <w:r w:rsidRPr="00074B87">
        <w:rPr>
          <w:rFonts w:cs="Times New Roman"/>
          <w:sz w:val="20"/>
          <w:szCs w:val="20"/>
          <w:lang w:val="ru-RU"/>
        </w:rPr>
        <w:t xml:space="preserve"> </w:t>
      </w:r>
      <w:r w:rsidR="005B34C5" w:rsidRPr="00074B87">
        <w:rPr>
          <w:rFonts w:cs="Times New Roman"/>
          <w:sz w:val="20"/>
          <w:szCs w:val="20"/>
          <w:lang w:val="ru-RU"/>
        </w:rPr>
        <w:t>сторонами</w:t>
      </w:r>
      <w:r w:rsidRPr="00074B87">
        <w:rPr>
          <w:rFonts w:cs="Times New Roman"/>
          <w:sz w:val="20"/>
          <w:szCs w:val="20"/>
          <w:lang w:val="ru-RU"/>
        </w:rPr>
        <w:t xml:space="preserve">, а </w:t>
      </w:r>
      <w:r w:rsidR="005B34C5" w:rsidRPr="00074B87">
        <w:rPr>
          <w:rFonts w:cs="Times New Roman"/>
          <w:sz w:val="20"/>
          <w:szCs w:val="20"/>
          <w:lang w:val="ru-RU"/>
        </w:rPr>
        <w:t>также</w:t>
      </w:r>
      <w:r w:rsidRPr="00074B87">
        <w:rPr>
          <w:rFonts w:cs="Times New Roman"/>
          <w:sz w:val="20"/>
          <w:szCs w:val="20"/>
          <w:lang w:val="ru-RU"/>
        </w:rPr>
        <w:t xml:space="preserve"> </w:t>
      </w:r>
      <w:r w:rsidR="00BF06C7" w:rsidRPr="00074B87">
        <w:rPr>
          <w:rFonts w:cs="Times New Roman"/>
          <w:sz w:val="20"/>
          <w:szCs w:val="20"/>
          <w:lang w:val="ru-RU"/>
        </w:rPr>
        <w:t>умение</w:t>
      </w:r>
      <w:r w:rsidRPr="00074B87">
        <w:rPr>
          <w:rFonts w:cs="Times New Roman"/>
          <w:sz w:val="20"/>
          <w:szCs w:val="20"/>
          <w:lang w:val="ru-RU"/>
        </w:rPr>
        <w:t xml:space="preserve"> </w:t>
      </w:r>
      <w:r w:rsidR="005B34C5" w:rsidRPr="00074B87">
        <w:rPr>
          <w:rFonts w:cs="Times New Roman"/>
          <w:sz w:val="20"/>
          <w:szCs w:val="20"/>
          <w:lang w:val="ru-RU"/>
        </w:rPr>
        <w:t>соотносить</w:t>
      </w:r>
      <w:r w:rsidRPr="00074B87">
        <w:rPr>
          <w:rFonts w:cs="Times New Roman"/>
          <w:sz w:val="20"/>
          <w:szCs w:val="20"/>
          <w:lang w:val="ru-RU"/>
        </w:rPr>
        <w:t xml:space="preserve"> </w:t>
      </w:r>
      <w:r w:rsidR="005B34C5" w:rsidRPr="00074B87">
        <w:rPr>
          <w:rFonts w:cs="Times New Roman"/>
          <w:sz w:val="20"/>
          <w:szCs w:val="20"/>
          <w:lang w:val="ru-RU"/>
        </w:rPr>
        <w:t>гуманитарную</w:t>
      </w:r>
      <w:r w:rsidRPr="00074B87">
        <w:rPr>
          <w:rFonts w:cs="Times New Roman"/>
          <w:sz w:val="20"/>
          <w:szCs w:val="20"/>
          <w:lang w:val="ru-RU"/>
        </w:rPr>
        <w:t xml:space="preserve"> </w:t>
      </w:r>
      <w:r w:rsidR="005B34C5" w:rsidRPr="00074B87">
        <w:rPr>
          <w:rFonts w:cs="Times New Roman"/>
          <w:sz w:val="20"/>
          <w:szCs w:val="20"/>
          <w:lang w:val="ru-RU"/>
        </w:rPr>
        <w:t>деятельность</w:t>
      </w:r>
      <w:r w:rsidR="00BF06C7" w:rsidRPr="00074B87">
        <w:rPr>
          <w:rFonts w:cs="Times New Roman"/>
          <w:sz w:val="20"/>
          <w:szCs w:val="20"/>
          <w:lang w:val="ru-RU"/>
        </w:rPr>
        <w:t xml:space="preserve"> с программами</w:t>
      </w:r>
      <w:r w:rsidR="005B34C5" w:rsidRPr="00074B87">
        <w:rPr>
          <w:rFonts w:cs="Times New Roman"/>
          <w:sz w:val="20"/>
          <w:szCs w:val="20"/>
          <w:lang w:val="ru-RU"/>
        </w:rPr>
        <w:t xml:space="preserve"> развития.</w:t>
      </w:r>
      <w:r w:rsidRPr="00074B87">
        <w:rPr>
          <w:rFonts w:cs="Times New Roman"/>
          <w:sz w:val="20"/>
          <w:szCs w:val="20"/>
          <w:lang w:val="ru-RU"/>
        </w:rPr>
        <w:t xml:space="preserve"> Более того, </w:t>
      </w:r>
      <w:r w:rsidR="005B34C5" w:rsidRPr="00074B87">
        <w:rPr>
          <w:rFonts w:cs="Times New Roman"/>
          <w:sz w:val="20"/>
          <w:szCs w:val="20"/>
          <w:lang w:val="ru-RU"/>
        </w:rPr>
        <w:t>потенциал необходимо оценивать применительно к конкретным оперативным</w:t>
      </w:r>
      <w:r w:rsidRPr="00074B87">
        <w:rPr>
          <w:rFonts w:cs="Times New Roman"/>
          <w:sz w:val="20"/>
          <w:szCs w:val="20"/>
          <w:lang w:val="ru-RU"/>
        </w:rPr>
        <w:t xml:space="preserve"> контекстам и кризисным ситуациям. </w:t>
      </w:r>
    </w:p>
    <w:p w14:paraId="6CC8B146" w14:textId="77777777" w:rsidR="007630E9" w:rsidRPr="00074B87" w:rsidRDefault="007630E9" w:rsidP="00A05EF7">
      <w:pPr>
        <w:pStyle w:val="a3"/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</w:p>
    <w:p w14:paraId="50CCC020" w14:textId="77FD1534" w:rsidR="00253946" w:rsidRPr="00074B87" w:rsidRDefault="00730BDF" w:rsidP="00A05EF7">
      <w:pPr>
        <w:pStyle w:val="a3"/>
        <w:numPr>
          <w:ilvl w:val="0"/>
          <w:numId w:val="4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>Всем</w:t>
      </w:r>
      <w:r w:rsidR="00253946" w:rsidRPr="00074B87">
        <w:rPr>
          <w:rFonts w:cs="Times New Roman"/>
          <w:sz w:val="20"/>
          <w:szCs w:val="20"/>
          <w:lang w:val="ru-RU"/>
        </w:rPr>
        <w:t xml:space="preserve"> </w:t>
      </w:r>
      <w:r w:rsidRPr="00074B87">
        <w:rPr>
          <w:rFonts w:cs="Times New Roman"/>
          <w:sz w:val="20"/>
          <w:szCs w:val="20"/>
          <w:lang w:val="ru-RU"/>
        </w:rPr>
        <w:t>заинтересованным сторонам необходимо</w:t>
      </w:r>
      <w:r w:rsidR="00253946" w:rsidRPr="00074B87">
        <w:rPr>
          <w:rFonts w:cs="Times New Roman"/>
          <w:sz w:val="20"/>
          <w:szCs w:val="20"/>
          <w:lang w:val="ru-RU"/>
        </w:rPr>
        <w:t xml:space="preserve"> стремиться к </w:t>
      </w:r>
      <w:r w:rsidRPr="00074B87">
        <w:rPr>
          <w:rFonts w:cs="Times New Roman"/>
          <w:sz w:val="20"/>
          <w:szCs w:val="20"/>
          <w:lang w:val="ru-RU"/>
        </w:rPr>
        <w:t>общему пониманию имеющегося потенциала в конкретном оперативном контек</w:t>
      </w:r>
      <w:r w:rsidR="00253946" w:rsidRPr="00074B87">
        <w:rPr>
          <w:rFonts w:cs="Times New Roman"/>
          <w:sz w:val="20"/>
          <w:szCs w:val="20"/>
          <w:lang w:val="ru-RU"/>
        </w:rPr>
        <w:t>с</w:t>
      </w:r>
      <w:r w:rsidRPr="00074B87">
        <w:rPr>
          <w:rFonts w:cs="Times New Roman"/>
          <w:sz w:val="20"/>
          <w:szCs w:val="20"/>
          <w:lang w:val="ru-RU"/>
        </w:rPr>
        <w:t>т</w:t>
      </w:r>
      <w:r w:rsidR="00250FA2" w:rsidRPr="00074B87">
        <w:rPr>
          <w:rFonts w:cs="Times New Roman"/>
          <w:sz w:val="20"/>
          <w:szCs w:val="20"/>
          <w:lang w:val="ru-RU"/>
        </w:rPr>
        <w:t>е посредством организации рабочих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процессов</w:t>
      </w:r>
      <w:r w:rsidR="00250FA2" w:rsidRPr="00074B87">
        <w:rPr>
          <w:rFonts w:cs="Times New Roman"/>
          <w:sz w:val="20"/>
          <w:szCs w:val="20"/>
          <w:lang w:val="ru-RU"/>
        </w:rPr>
        <w:t xml:space="preserve"> с широким осмысленным участием местных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орга</w:t>
      </w:r>
      <w:r w:rsidR="00250FA2" w:rsidRPr="00074B87">
        <w:rPr>
          <w:rFonts w:cs="Times New Roman"/>
          <w:sz w:val="20"/>
          <w:szCs w:val="20"/>
          <w:lang w:val="ru-RU"/>
        </w:rPr>
        <w:t>низаций</w:t>
      </w:r>
      <w:r w:rsidR="00253946" w:rsidRPr="00074B87">
        <w:rPr>
          <w:rFonts w:cs="Times New Roman"/>
          <w:sz w:val="20"/>
          <w:szCs w:val="20"/>
          <w:lang w:val="ru-RU"/>
        </w:rPr>
        <w:t>.</w:t>
      </w:r>
    </w:p>
    <w:p w14:paraId="432369F5" w14:textId="77777777" w:rsidR="00250FA2" w:rsidRPr="00074B87" w:rsidRDefault="00250FA2" w:rsidP="00A05EF7">
      <w:pPr>
        <w:spacing w:after="0"/>
        <w:jc w:val="both"/>
        <w:rPr>
          <w:rFonts w:cs="Times New Roman"/>
          <w:sz w:val="20"/>
          <w:szCs w:val="20"/>
          <w:lang w:val="ru-RU"/>
        </w:rPr>
      </w:pPr>
    </w:p>
    <w:p w14:paraId="0B8433B4" w14:textId="5D8C2333" w:rsidR="00D81B15" w:rsidRPr="00074B87" w:rsidRDefault="00253946" w:rsidP="00A05EF7">
      <w:pPr>
        <w:pStyle w:val="a3"/>
        <w:numPr>
          <w:ilvl w:val="0"/>
          <w:numId w:val="4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 xml:space="preserve">Терминология имеет значение. </w:t>
      </w:r>
      <w:r w:rsidR="00250FA2" w:rsidRPr="00074B87">
        <w:rPr>
          <w:rFonts w:cs="Times New Roman"/>
          <w:sz w:val="20"/>
          <w:szCs w:val="20"/>
          <w:lang w:val="ru-RU"/>
        </w:rPr>
        <w:t>Говоря о потенциале</w:t>
      </w:r>
      <w:r w:rsidRPr="00074B87">
        <w:rPr>
          <w:rFonts w:cs="Times New Roman"/>
          <w:sz w:val="20"/>
          <w:szCs w:val="20"/>
          <w:lang w:val="ru-RU"/>
        </w:rPr>
        <w:t xml:space="preserve">, как правило, </w:t>
      </w:r>
      <w:r w:rsidR="00250FA2" w:rsidRPr="00074B87">
        <w:rPr>
          <w:rFonts w:cs="Times New Roman"/>
          <w:sz w:val="20"/>
          <w:szCs w:val="20"/>
          <w:lang w:val="ru-RU"/>
        </w:rPr>
        <w:t>подразумевается</w:t>
      </w:r>
      <w:r w:rsidR="00A05EF7" w:rsidRPr="00074B87">
        <w:rPr>
          <w:rFonts w:cs="Times New Roman"/>
          <w:sz w:val="20"/>
          <w:szCs w:val="20"/>
          <w:lang w:val="ru-RU"/>
        </w:rPr>
        <w:t xml:space="preserve"> нечто, чего </w:t>
      </w:r>
      <w:r w:rsidR="00A05EF7" w:rsidRPr="00074B87">
        <w:rPr>
          <w:rFonts w:cs="Times New Roman"/>
          <w:sz w:val="20"/>
          <w:szCs w:val="20"/>
          <w:lang w:val="en-US"/>
        </w:rPr>
        <w:t>“</w:t>
      </w:r>
      <w:r w:rsidR="00A05EF7" w:rsidRPr="00074B87">
        <w:rPr>
          <w:rFonts w:cs="Times New Roman"/>
          <w:sz w:val="20"/>
          <w:szCs w:val="20"/>
          <w:lang w:val="ru-RU"/>
        </w:rPr>
        <w:t>не хватает</w:t>
      </w:r>
      <w:r w:rsidR="00A05EF7" w:rsidRPr="00074B87">
        <w:rPr>
          <w:rFonts w:cs="Times New Roman"/>
          <w:sz w:val="20"/>
          <w:szCs w:val="20"/>
          <w:lang w:val="en-US"/>
        </w:rPr>
        <w:t>”</w:t>
      </w:r>
      <w:r w:rsidRPr="00074B87">
        <w:rPr>
          <w:rFonts w:cs="Times New Roman"/>
          <w:sz w:val="20"/>
          <w:szCs w:val="20"/>
          <w:lang w:val="ru-RU"/>
        </w:rPr>
        <w:t xml:space="preserve"> и что с</w:t>
      </w:r>
      <w:r w:rsidR="00A05EF7" w:rsidRPr="00074B87">
        <w:rPr>
          <w:rFonts w:cs="Times New Roman"/>
          <w:sz w:val="20"/>
          <w:szCs w:val="20"/>
          <w:lang w:val="ru-RU"/>
        </w:rPr>
        <w:t xml:space="preserve">ледует </w:t>
      </w:r>
      <w:r w:rsidR="00A05EF7" w:rsidRPr="00074B87">
        <w:rPr>
          <w:rFonts w:cs="Times New Roman"/>
          <w:sz w:val="20"/>
          <w:szCs w:val="20"/>
          <w:lang w:val="en-US"/>
        </w:rPr>
        <w:t>“</w:t>
      </w:r>
      <w:r w:rsidR="00A05EF7" w:rsidRPr="00074B87">
        <w:rPr>
          <w:rFonts w:cs="Times New Roman"/>
          <w:sz w:val="20"/>
          <w:szCs w:val="20"/>
          <w:lang w:val="ru-RU"/>
        </w:rPr>
        <w:t>нарастить</w:t>
      </w:r>
      <w:r w:rsidR="00A05EF7" w:rsidRPr="00074B87">
        <w:rPr>
          <w:rFonts w:cs="Times New Roman"/>
          <w:sz w:val="20"/>
          <w:szCs w:val="20"/>
          <w:lang w:val="en-US"/>
        </w:rPr>
        <w:t>”</w:t>
      </w:r>
      <w:r w:rsidR="00250FA2" w:rsidRPr="00074B87">
        <w:rPr>
          <w:rFonts w:cs="Times New Roman"/>
          <w:sz w:val="20"/>
          <w:szCs w:val="20"/>
          <w:lang w:val="ru-RU"/>
        </w:rPr>
        <w:t>. Вместе с тем, те</w:t>
      </w:r>
      <w:r w:rsidR="00A05EF7" w:rsidRPr="00074B87">
        <w:rPr>
          <w:rFonts w:cs="Times New Roman"/>
          <w:sz w:val="20"/>
          <w:szCs w:val="20"/>
          <w:lang w:val="ru-RU"/>
        </w:rPr>
        <w:t xml:space="preserve">рмин </w:t>
      </w:r>
      <w:r w:rsidR="00A05EF7" w:rsidRPr="00074B87">
        <w:rPr>
          <w:rFonts w:cs="Times New Roman"/>
          <w:sz w:val="20"/>
          <w:szCs w:val="20"/>
          <w:lang w:val="en-US"/>
        </w:rPr>
        <w:t>“</w:t>
      </w:r>
      <w:r w:rsidRPr="00074B87">
        <w:rPr>
          <w:rFonts w:cs="Times New Roman"/>
          <w:sz w:val="20"/>
          <w:szCs w:val="20"/>
          <w:lang w:val="ru-RU"/>
        </w:rPr>
        <w:t>укрепление потен</w:t>
      </w:r>
      <w:r w:rsidR="00A05EF7" w:rsidRPr="00074B87">
        <w:rPr>
          <w:rFonts w:cs="Times New Roman"/>
          <w:sz w:val="20"/>
          <w:szCs w:val="20"/>
          <w:lang w:val="ru-RU"/>
        </w:rPr>
        <w:t>циала</w:t>
      </w:r>
      <w:r w:rsidR="00A05EF7" w:rsidRPr="00074B87">
        <w:rPr>
          <w:rFonts w:cs="Times New Roman"/>
          <w:sz w:val="20"/>
          <w:szCs w:val="20"/>
          <w:lang w:val="en-US"/>
        </w:rPr>
        <w:t>”</w:t>
      </w:r>
      <w:r w:rsidR="00A05EF7" w:rsidRPr="00074B87">
        <w:rPr>
          <w:rFonts w:cs="Times New Roman"/>
          <w:sz w:val="20"/>
          <w:szCs w:val="20"/>
          <w:lang w:val="ru-RU"/>
        </w:rPr>
        <w:t xml:space="preserve"> или </w:t>
      </w:r>
      <w:r w:rsidR="00A05EF7" w:rsidRPr="00074B87">
        <w:rPr>
          <w:rFonts w:cs="Times New Roman"/>
          <w:sz w:val="20"/>
          <w:szCs w:val="20"/>
          <w:lang w:val="en-US"/>
        </w:rPr>
        <w:t>“</w:t>
      </w:r>
      <w:r w:rsidR="00250FA2" w:rsidRPr="00074B87">
        <w:rPr>
          <w:rFonts w:cs="Times New Roman"/>
          <w:sz w:val="20"/>
          <w:szCs w:val="20"/>
          <w:lang w:val="ru-RU"/>
        </w:rPr>
        <w:t>обм</w:t>
      </w:r>
      <w:r w:rsidR="00A05EF7" w:rsidRPr="00074B87">
        <w:rPr>
          <w:rFonts w:cs="Times New Roman"/>
          <w:sz w:val="20"/>
          <w:szCs w:val="20"/>
          <w:lang w:val="ru-RU"/>
        </w:rPr>
        <w:t>ен потенциальными возможностями</w:t>
      </w:r>
      <w:r w:rsidR="00A05EF7" w:rsidRPr="00074B87">
        <w:rPr>
          <w:rFonts w:cs="Times New Roman"/>
          <w:sz w:val="20"/>
          <w:szCs w:val="20"/>
          <w:lang w:val="en-US"/>
        </w:rPr>
        <w:t>”</w:t>
      </w:r>
      <w:r w:rsidR="00A05EF7" w:rsidRPr="00074B87">
        <w:rPr>
          <w:rFonts w:cs="Times New Roman"/>
          <w:sz w:val="20"/>
          <w:szCs w:val="20"/>
          <w:lang w:val="ru-RU"/>
        </w:rPr>
        <w:t xml:space="preserve"> или </w:t>
      </w:r>
      <w:r w:rsidR="00A05EF7" w:rsidRPr="00074B87">
        <w:rPr>
          <w:rFonts w:cs="Times New Roman"/>
          <w:sz w:val="20"/>
          <w:szCs w:val="20"/>
          <w:lang w:val="en-US"/>
        </w:rPr>
        <w:t>“</w:t>
      </w:r>
      <w:r w:rsidR="00250FA2" w:rsidRPr="00074B87">
        <w:rPr>
          <w:rFonts w:cs="Times New Roman"/>
          <w:sz w:val="20"/>
          <w:szCs w:val="20"/>
          <w:lang w:val="ru-RU"/>
        </w:rPr>
        <w:t xml:space="preserve">совместное использование </w:t>
      </w:r>
      <w:r w:rsidRPr="00074B87">
        <w:rPr>
          <w:rFonts w:cs="Times New Roman"/>
          <w:sz w:val="20"/>
          <w:szCs w:val="20"/>
          <w:lang w:val="ru-RU"/>
        </w:rPr>
        <w:t>общего пот</w:t>
      </w:r>
      <w:r w:rsidR="00A05EF7" w:rsidRPr="00074B87">
        <w:rPr>
          <w:rFonts w:cs="Times New Roman"/>
          <w:sz w:val="20"/>
          <w:szCs w:val="20"/>
          <w:lang w:val="ru-RU"/>
        </w:rPr>
        <w:t>енциала</w:t>
      </w:r>
      <w:r w:rsidR="00A05EF7" w:rsidRPr="00074B87">
        <w:rPr>
          <w:rFonts w:cs="Times New Roman"/>
          <w:sz w:val="20"/>
          <w:szCs w:val="20"/>
          <w:lang w:val="en-US"/>
        </w:rPr>
        <w:t>”</w:t>
      </w:r>
      <w:r w:rsidR="00FE0E6F" w:rsidRPr="00074B87">
        <w:rPr>
          <w:rFonts w:cs="Times New Roman"/>
          <w:sz w:val="20"/>
          <w:szCs w:val="20"/>
          <w:lang w:val="ru-RU"/>
        </w:rPr>
        <w:t xml:space="preserve"> признает существование профессиональных возможностей и активов, которые могут быть предложены для совместного использования и обеспечены поддержкой.</w:t>
      </w:r>
    </w:p>
    <w:p w14:paraId="642F3584" w14:textId="77777777" w:rsidR="00A05EF7" w:rsidRPr="00074B87" w:rsidRDefault="00A05EF7" w:rsidP="00A05EF7">
      <w:pPr>
        <w:pStyle w:val="a3"/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</w:p>
    <w:p w14:paraId="01488E42" w14:textId="62D5943D" w:rsidR="008B3C86" w:rsidRDefault="00253946" w:rsidP="00A05EF7">
      <w:pPr>
        <w:spacing w:after="0"/>
        <w:jc w:val="both"/>
        <w:rPr>
          <w:rFonts w:eastAsiaTheme="majorEastAsia" w:cs="Times New Roman"/>
          <w:b/>
          <w:bCs/>
          <w:color w:val="011E41"/>
          <w:lang w:val="ru-RU"/>
        </w:rPr>
      </w:pPr>
      <w:r w:rsidRPr="00074B87">
        <w:rPr>
          <w:rFonts w:eastAsiaTheme="majorEastAsia" w:cs="Times New Roman"/>
          <w:b/>
          <w:bCs/>
          <w:color w:val="011E41"/>
          <w:lang w:val="ru-RU"/>
        </w:rPr>
        <w:t>Оценка потенциала</w:t>
      </w:r>
    </w:p>
    <w:p w14:paraId="49D92AE3" w14:textId="77777777" w:rsidR="00074B87" w:rsidRPr="00074B87" w:rsidRDefault="00074B87" w:rsidP="00A05EF7">
      <w:pPr>
        <w:spacing w:after="0"/>
        <w:jc w:val="both"/>
        <w:rPr>
          <w:rFonts w:eastAsiaTheme="majorEastAsia" w:cs="Times New Roman"/>
          <w:b/>
          <w:bCs/>
          <w:color w:val="011E41"/>
          <w:lang w:val="ru-RU"/>
        </w:rPr>
      </w:pPr>
    </w:p>
    <w:p w14:paraId="6C513608" w14:textId="6EDB5B7F" w:rsidR="00253946" w:rsidRPr="00074B87" w:rsidRDefault="00FE0E6F" w:rsidP="00A05EF7">
      <w:pPr>
        <w:pStyle w:val="a3"/>
        <w:numPr>
          <w:ilvl w:val="0"/>
          <w:numId w:val="5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>В настоящее время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процесс, посредством которого разные </w:t>
      </w:r>
      <w:r w:rsidRPr="00074B87">
        <w:rPr>
          <w:rFonts w:cs="Times New Roman"/>
          <w:sz w:val="20"/>
          <w:szCs w:val="20"/>
          <w:lang w:val="ru-RU"/>
        </w:rPr>
        <w:t>организации определяют эффективность и значимость работы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других</w:t>
      </w:r>
      <w:r w:rsidRPr="00074B87">
        <w:rPr>
          <w:rFonts w:cs="Times New Roman"/>
          <w:sz w:val="20"/>
          <w:szCs w:val="20"/>
          <w:lang w:val="ru-RU"/>
        </w:rPr>
        <w:t xml:space="preserve"> субъектов деятельности во многом ограничивается  оценкой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междунаро</w:t>
      </w:r>
      <w:r w:rsidRPr="00074B87">
        <w:rPr>
          <w:rFonts w:cs="Times New Roman"/>
          <w:sz w:val="20"/>
          <w:szCs w:val="20"/>
          <w:lang w:val="ru-RU"/>
        </w:rPr>
        <w:t>дными органи</w:t>
      </w:r>
      <w:r w:rsidR="00253946" w:rsidRPr="00074B87">
        <w:rPr>
          <w:rFonts w:cs="Times New Roman"/>
          <w:sz w:val="20"/>
          <w:szCs w:val="20"/>
          <w:lang w:val="ru-RU"/>
        </w:rPr>
        <w:t>з</w:t>
      </w:r>
      <w:r w:rsidRPr="00074B87">
        <w:rPr>
          <w:rFonts w:cs="Times New Roman"/>
          <w:sz w:val="20"/>
          <w:szCs w:val="20"/>
          <w:lang w:val="ru-RU"/>
        </w:rPr>
        <w:t>а</w:t>
      </w:r>
      <w:r w:rsidR="00253946" w:rsidRPr="00074B87">
        <w:rPr>
          <w:rFonts w:cs="Times New Roman"/>
          <w:sz w:val="20"/>
          <w:szCs w:val="20"/>
          <w:lang w:val="ru-RU"/>
        </w:rPr>
        <w:t xml:space="preserve">циями местных организаций с целью </w:t>
      </w:r>
      <w:r w:rsidRPr="00074B87">
        <w:rPr>
          <w:rFonts w:cs="Times New Roman"/>
          <w:sz w:val="20"/>
          <w:szCs w:val="20"/>
          <w:lang w:val="ru-RU"/>
        </w:rPr>
        <w:t>финансирования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и партнерства. </w:t>
      </w:r>
      <w:r w:rsidR="00C01192" w:rsidRPr="00074B87">
        <w:rPr>
          <w:rFonts w:cs="Times New Roman"/>
          <w:sz w:val="20"/>
          <w:szCs w:val="20"/>
          <w:lang w:val="ru-RU"/>
        </w:rPr>
        <w:t xml:space="preserve">Составление подробного реестра потенциальных возможностей, доступных в конкретном оперативном </w:t>
      </w:r>
      <w:r w:rsidR="00C01192" w:rsidRPr="00074B87">
        <w:rPr>
          <w:rFonts w:cs="Times New Roman"/>
          <w:sz w:val="20"/>
          <w:szCs w:val="20"/>
          <w:lang w:val="ru-RU"/>
        </w:rPr>
        <w:lastRenderedPageBreak/>
        <w:t>контексте поможет определить, в какой степени местные структуры могут быть задействованы в гуманитарных усилиях и как восполнить имеющиеся пробелы.</w:t>
      </w:r>
    </w:p>
    <w:p w14:paraId="7B530B68" w14:textId="77777777" w:rsidR="00950EA4" w:rsidRPr="00074B87" w:rsidRDefault="00950EA4" w:rsidP="00A05EF7">
      <w:pPr>
        <w:pStyle w:val="a3"/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</w:p>
    <w:p w14:paraId="08C11A78" w14:textId="39E11AE2" w:rsidR="00253946" w:rsidRPr="00074B87" w:rsidRDefault="00C01192" w:rsidP="00A05EF7">
      <w:pPr>
        <w:pStyle w:val="a3"/>
        <w:numPr>
          <w:ilvl w:val="0"/>
          <w:numId w:val="4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en-US"/>
        </w:rPr>
        <w:t>“</w:t>
      </w:r>
      <w:r w:rsidRPr="00074B87">
        <w:rPr>
          <w:rFonts w:cs="Times New Roman"/>
          <w:sz w:val="20"/>
          <w:szCs w:val="20"/>
          <w:lang w:val="ru-RU"/>
        </w:rPr>
        <w:t>Потенциал</w:t>
      </w:r>
      <w:r w:rsidRPr="00074B87">
        <w:rPr>
          <w:rFonts w:cs="Times New Roman"/>
          <w:sz w:val="20"/>
          <w:szCs w:val="20"/>
          <w:lang w:val="en-US"/>
        </w:rPr>
        <w:t>”</w:t>
      </w:r>
      <w:r w:rsidRPr="00074B87">
        <w:rPr>
          <w:rFonts w:cs="Times New Roman"/>
          <w:sz w:val="20"/>
          <w:szCs w:val="20"/>
          <w:lang w:val="ru-RU"/>
        </w:rPr>
        <w:t xml:space="preserve"> каждой организации динамично развивается и во многом зависит от кадровых возможностей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и </w:t>
      </w:r>
      <w:r w:rsidRPr="00074B87">
        <w:rPr>
          <w:rFonts w:cs="Times New Roman"/>
          <w:sz w:val="20"/>
          <w:szCs w:val="20"/>
          <w:lang w:val="ru-RU"/>
        </w:rPr>
        <w:t xml:space="preserve">оперативного </w:t>
      </w:r>
      <w:r w:rsidR="00253946" w:rsidRPr="00074B87">
        <w:rPr>
          <w:rFonts w:cs="Times New Roman"/>
          <w:sz w:val="20"/>
          <w:szCs w:val="20"/>
          <w:lang w:val="ru-RU"/>
        </w:rPr>
        <w:t xml:space="preserve">контекста. </w:t>
      </w:r>
      <w:r w:rsidRPr="00074B87">
        <w:rPr>
          <w:rFonts w:cs="Times New Roman"/>
          <w:sz w:val="20"/>
          <w:szCs w:val="20"/>
          <w:lang w:val="ru-RU"/>
        </w:rPr>
        <w:t>Например</w:t>
      </w:r>
      <w:r w:rsidR="00253946" w:rsidRPr="00074B87">
        <w:rPr>
          <w:rFonts w:cs="Times New Roman"/>
          <w:sz w:val="20"/>
          <w:szCs w:val="20"/>
          <w:lang w:val="ru-RU"/>
        </w:rPr>
        <w:t xml:space="preserve">, </w:t>
      </w:r>
      <w:r w:rsidRPr="00074B87">
        <w:rPr>
          <w:rFonts w:cs="Times New Roman"/>
          <w:sz w:val="20"/>
          <w:szCs w:val="20"/>
          <w:lang w:val="ru-RU"/>
        </w:rPr>
        <w:t xml:space="preserve">организация, обладающая потенциалом реагирования для борьбы с последствиями </w:t>
      </w:r>
      <w:r w:rsidR="00253946" w:rsidRPr="00074B87">
        <w:rPr>
          <w:rFonts w:cs="Times New Roman"/>
          <w:sz w:val="20"/>
          <w:szCs w:val="20"/>
          <w:lang w:val="ru-RU"/>
        </w:rPr>
        <w:t>наводнения, может не иметь</w:t>
      </w:r>
      <w:r w:rsidRPr="00074B87">
        <w:rPr>
          <w:rFonts w:cs="Times New Roman"/>
          <w:sz w:val="20"/>
          <w:szCs w:val="20"/>
          <w:lang w:val="ru-RU"/>
        </w:rPr>
        <w:t xml:space="preserve"> необходимых возможностей </w:t>
      </w:r>
      <w:r w:rsidR="00253946" w:rsidRPr="00074B87">
        <w:rPr>
          <w:rFonts w:cs="Times New Roman"/>
          <w:sz w:val="20"/>
          <w:szCs w:val="20"/>
          <w:lang w:val="ru-RU"/>
        </w:rPr>
        <w:t>для</w:t>
      </w:r>
      <w:r w:rsidRPr="00074B87">
        <w:rPr>
          <w:rFonts w:cs="Times New Roman"/>
          <w:sz w:val="20"/>
          <w:szCs w:val="20"/>
          <w:lang w:val="ru-RU"/>
        </w:rPr>
        <w:t xml:space="preserve"> работы с большим потоком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беженцев. Необходимо также признать, что </w:t>
      </w:r>
      <w:r w:rsidRPr="00074B87">
        <w:rPr>
          <w:rFonts w:cs="Times New Roman"/>
          <w:sz w:val="20"/>
          <w:szCs w:val="20"/>
          <w:lang w:val="ru-RU"/>
        </w:rPr>
        <w:t>для обеспечения устойчивого роста любой организации необходимы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инвестици</w:t>
      </w:r>
      <w:r w:rsidRPr="00074B87">
        <w:rPr>
          <w:rFonts w:cs="Times New Roman"/>
          <w:sz w:val="20"/>
          <w:szCs w:val="20"/>
          <w:lang w:val="ru-RU"/>
        </w:rPr>
        <w:t>и</w:t>
      </w:r>
      <w:r w:rsidR="00253946" w:rsidRPr="00074B87">
        <w:rPr>
          <w:rFonts w:cs="Times New Roman"/>
          <w:sz w:val="20"/>
          <w:szCs w:val="20"/>
          <w:lang w:val="ru-RU"/>
        </w:rPr>
        <w:t>.</w:t>
      </w:r>
    </w:p>
    <w:p w14:paraId="6AEB1836" w14:textId="77777777" w:rsidR="00A05EF7" w:rsidRPr="00074B87" w:rsidRDefault="00A05EF7" w:rsidP="00A05EF7">
      <w:pPr>
        <w:pStyle w:val="a3"/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</w:p>
    <w:p w14:paraId="04D983A4" w14:textId="639BED43" w:rsidR="001F624B" w:rsidRDefault="00253946" w:rsidP="00A05EF7">
      <w:pPr>
        <w:spacing w:after="0"/>
        <w:jc w:val="both"/>
        <w:rPr>
          <w:rFonts w:eastAsiaTheme="majorEastAsia" w:cs="Times New Roman"/>
          <w:b/>
          <w:bCs/>
          <w:color w:val="011E41"/>
          <w:lang w:val="ru-RU"/>
        </w:rPr>
      </w:pPr>
      <w:r w:rsidRPr="00074B87">
        <w:rPr>
          <w:rFonts w:eastAsiaTheme="majorEastAsia" w:cs="Times New Roman"/>
          <w:b/>
          <w:bCs/>
          <w:color w:val="011E41"/>
          <w:lang w:val="ru-RU"/>
        </w:rPr>
        <w:t>Общие рекомендации</w:t>
      </w:r>
    </w:p>
    <w:p w14:paraId="54D20746" w14:textId="77777777" w:rsidR="00074B87" w:rsidRPr="00074B87" w:rsidRDefault="00074B87" w:rsidP="00A05EF7">
      <w:pPr>
        <w:spacing w:after="0"/>
        <w:jc w:val="both"/>
        <w:rPr>
          <w:rFonts w:eastAsiaTheme="majorEastAsia" w:cs="Times New Roman"/>
          <w:b/>
          <w:bCs/>
          <w:color w:val="011E41"/>
          <w:lang w:val="ru-RU"/>
        </w:rPr>
      </w:pPr>
    </w:p>
    <w:p w14:paraId="67DE5D4A" w14:textId="4521BCDC" w:rsidR="007B6469" w:rsidRPr="00074B87" w:rsidRDefault="00C01192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>Процесс укрепления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пот</w:t>
      </w:r>
      <w:r w:rsidRPr="00074B87">
        <w:rPr>
          <w:rFonts w:cs="Times New Roman"/>
          <w:sz w:val="20"/>
          <w:szCs w:val="20"/>
          <w:lang w:val="ru-RU"/>
        </w:rPr>
        <w:t>енциала в рамках взаимодействия субъектов международного и местного уровня</w:t>
      </w:r>
      <w:r w:rsidR="00253946" w:rsidRPr="00074B87">
        <w:rPr>
          <w:rFonts w:cs="Times New Roman"/>
          <w:sz w:val="20"/>
          <w:szCs w:val="20"/>
          <w:lang w:val="ru-RU"/>
        </w:rPr>
        <w:t xml:space="preserve"> долж</w:t>
      </w:r>
      <w:r w:rsidRPr="00074B87">
        <w:rPr>
          <w:rFonts w:cs="Times New Roman"/>
          <w:sz w:val="20"/>
          <w:szCs w:val="20"/>
          <w:lang w:val="ru-RU"/>
        </w:rPr>
        <w:t xml:space="preserve">ен быть двусторонним. Субъекты международного уровня должны </w:t>
      </w:r>
      <w:r w:rsidR="00FD2DEB" w:rsidRPr="00074B87">
        <w:rPr>
          <w:rFonts w:cs="Times New Roman"/>
          <w:sz w:val="20"/>
          <w:szCs w:val="20"/>
          <w:lang w:val="ru-RU"/>
        </w:rPr>
        <w:t xml:space="preserve">также </w:t>
      </w:r>
      <w:r w:rsidRPr="00074B87">
        <w:rPr>
          <w:rFonts w:cs="Times New Roman"/>
          <w:sz w:val="20"/>
          <w:szCs w:val="20"/>
          <w:lang w:val="ru-RU"/>
        </w:rPr>
        <w:t>использовать</w:t>
      </w:r>
      <w:r w:rsidR="00253946" w:rsidRPr="00074B87">
        <w:rPr>
          <w:rFonts w:cs="Times New Roman"/>
          <w:sz w:val="20"/>
          <w:szCs w:val="20"/>
          <w:lang w:val="ru-RU"/>
        </w:rPr>
        <w:t xml:space="preserve"> </w:t>
      </w:r>
      <w:r w:rsidRPr="00074B87">
        <w:rPr>
          <w:rFonts w:cs="Times New Roman"/>
          <w:sz w:val="20"/>
          <w:szCs w:val="20"/>
          <w:lang w:val="ru-RU"/>
        </w:rPr>
        <w:t>возможности</w:t>
      </w:r>
      <w:r w:rsidR="00253946" w:rsidRPr="00074B87">
        <w:rPr>
          <w:rFonts w:cs="Times New Roman"/>
          <w:sz w:val="20"/>
          <w:szCs w:val="20"/>
          <w:lang w:val="ru-RU"/>
        </w:rPr>
        <w:t xml:space="preserve"> </w:t>
      </w:r>
      <w:r w:rsidR="00FD2DEB" w:rsidRPr="00074B87">
        <w:rPr>
          <w:rFonts w:cs="Times New Roman"/>
          <w:sz w:val="20"/>
          <w:szCs w:val="20"/>
          <w:lang w:val="ru-RU"/>
        </w:rPr>
        <w:t>получения новых знаний от субъектов местного уровня</w:t>
      </w:r>
      <w:r w:rsidR="00253946" w:rsidRPr="00074B87">
        <w:rPr>
          <w:rFonts w:cs="Times New Roman"/>
          <w:sz w:val="20"/>
          <w:szCs w:val="20"/>
          <w:lang w:val="ru-RU"/>
        </w:rPr>
        <w:t>, включая освоение т</w:t>
      </w:r>
      <w:r w:rsidR="00FD2DEB" w:rsidRPr="00074B87">
        <w:rPr>
          <w:rFonts w:cs="Times New Roman"/>
          <w:sz w:val="20"/>
          <w:szCs w:val="20"/>
          <w:lang w:val="ru-RU"/>
        </w:rPr>
        <w:t xml:space="preserve">ехнических </w:t>
      </w:r>
      <w:r w:rsidR="001D1D28" w:rsidRPr="00074B87">
        <w:rPr>
          <w:rFonts w:cs="Times New Roman"/>
          <w:sz w:val="20"/>
          <w:szCs w:val="20"/>
          <w:lang w:val="ru-RU"/>
        </w:rPr>
        <w:t xml:space="preserve">навыков, </w:t>
      </w:r>
      <w:r w:rsidR="00FD2DEB" w:rsidRPr="00074B87">
        <w:rPr>
          <w:rFonts w:cs="Times New Roman"/>
          <w:sz w:val="20"/>
          <w:szCs w:val="20"/>
          <w:lang w:val="ru-RU"/>
        </w:rPr>
        <w:t xml:space="preserve">изучение </w:t>
      </w:r>
      <w:r w:rsidR="001D1D28" w:rsidRPr="00074B87">
        <w:rPr>
          <w:rFonts w:cs="Times New Roman"/>
          <w:sz w:val="20"/>
          <w:szCs w:val="20"/>
          <w:lang w:val="ru-RU"/>
        </w:rPr>
        <w:t>оперативных</w:t>
      </w:r>
      <w:r w:rsidR="00AE6B34" w:rsidRPr="00074B87">
        <w:rPr>
          <w:rFonts w:cs="Times New Roman"/>
          <w:sz w:val="20"/>
          <w:szCs w:val="20"/>
          <w:lang w:val="ru-RU"/>
        </w:rPr>
        <w:t xml:space="preserve">  аспектов</w:t>
      </w:r>
      <w:r w:rsidR="00FD2DEB" w:rsidRPr="00074B87">
        <w:rPr>
          <w:rFonts w:cs="Times New Roman"/>
          <w:sz w:val="20"/>
          <w:szCs w:val="20"/>
          <w:lang w:val="ru-RU"/>
        </w:rPr>
        <w:t xml:space="preserve"> </w:t>
      </w:r>
      <w:r w:rsidR="00AE6B34" w:rsidRPr="00074B87">
        <w:rPr>
          <w:rFonts w:cs="Times New Roman"/>
          <w:sz w:val="20"/>
          <w:szCs w:val="20"/>
          <w:lang w:val="ru-RU"/>
        </w:rPr>
        <w:t xml:space="preserve"> и более глубокое</w:t>
      </w:r>
      <w:r w:rsidR="00FD2DEB" w:rsidRPr="00074B87">
        <w:rPr>
          <w:rFonts w:cs="Times New Roman"/>
          <w:sz w:val="20"/>
          <w:szCs w:val="20"/>
          <w:lang w:val="ru-RU"/>
        </w:rPr>
        <w:t xml:space="preserve"> понимание</w:t>
      </w:r>
      <w:r w:rsidR="00AE6B34" w:rsidRPr="00074B87">
        <w:rPr>
          <w:rFonts w:cs="Times New Roman"/>
          <w:sz w:val="20"/>
          <w:szCs w:val="20"/>
          <w:lang w:val="ru-RU"/>
        </w:rPr>
        <w:t xml:space="preserve"> политических, социальных и культурных особенностей</w:t>
      </w:r>
      <w:r w:rsidR="001D1D28" w:rsidRPr="00074B87">
        <w:rPr>
          <w:rFonts w:cs="Times New Roman"/>
          <w:sz w:val="20"/>
          <w:szCs w:val="20"/>
          <w:lang w:val="ru-RU"/>
        </w:rPr>
        <w:t>.</w:t>
      </w:r>
    </w:p>
    <w:p w14:paraId="38F6C086" w14:textId="7109DF15" w:rsidR="001D1D28" w:rsidRPr="00074B87" w:rsidRDefault="00AE6B34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>Субъекты</w:t>
      </w:r>
      <w:r w:rsidR="001D1D28" w:rsidRPr="00074B87">
        <w:rPr>
          <w:rFonts w:cs="Times New Roman"/>
          <w:sz w:val="20"/>
          <w:szCs w:val="20"/>
          <w:lang w:val="ru-RU"/>
        </w:rPr>
        <w:t xml:space="preserve"> </w:t>
      </w:r>
      <w:r w:rsidRPr="00074B87">
        <w:rPr>
          <w:rFonts w:cs="Times New Roman"/>
          <w:sz w:val="20"/>
          <w:szCs w:val="20"/>
          <w:lang w:val="ru-RU"/>
        </w:rPr>
        <w:t>местного уровня должны самостоятельно определять приоритеты и полностью распоряжаться любыми возможностями поддержки</w:t>
      </w:r>
      <w:r w:rsidR="001D1D28" w:rsidRPr="00074B87">
        <w:rPr>
          <w:rFonts w:cs="Times New Roman"/>
          <w:sz w:val="20"/>
          <w:szCs w:val="20"/>
          <w:lang w:val="ru-RU"/>
        </w:rPr>
        <w:t xml:space="preserve"> в област</w:t>
      </w:r>
      <w:r w:rsidRPr="00074B87">
        <w:rPr>
          <w:rFonts w:cs="Times New Roman"/>
          <w:sz w:val="20"/>
          <w:szCs w:val="20"/>
          <w:lang w:val="ru-RU"/>
        </w:rPr>
        <w:t>и укрепления потенциала, которые им предоставляют</w:t>
      </w:r>
      <w:r w:rsidR="00D27075" w:rsidRPr="00074B87">
        <w:rPr>
          <w:rFonts w:cs="Times New Roman"/>
          <w:sz w:val="20"/>
          <w:szCs w:val="20"/>
          <w:lang w:val="ru-RU"/>
        </w:rPr>
        <w:t>, учитывая не только необходимость</w:t>
      </w:r>
      <w:r w:rsidR="001D1D28" w:rsidRPr="00074B87">
        <w:rPr>
          <w:rFonts w:cs="Times New Roman"/>
          <w:sz w:val="20"/>
          <w:szCs w:val="20"/>
          <w:lang w:val="ru-RU"/>
        </w:rPr>
        <w:t xml:space="preserve"> </w:t>
      </w:r>
      <w:r w:rsidR="00D27075" w:rsidRPr="00074B87">
        <w:rPr>
          <w:rFonts w:cs="Times New Roman"/>
          <w:sz w:val="20"/>
          <w:szCs w:val="20"/>
          <w:lang w:val="ru-RU"/>
        </w:rPr>
        <w:t>обеспечения сиюминутного предоставления у</w:t>
      </w:r>
      <w:r w:rsidR="001D1D28" w:rsidRPr="00074B87">
        <w:rPr>
          <w:rFonts w:cs="Times New Roman"/>
          <w:sz w:val="20"/>
          <w:szCs w:val="20"/>
          <w:lang w:val="ru-RU"/>
        </w:rPr>
        <w:t>с</w:t>
      </w:r>
      <w:r w:rsidR="00D27075" w:rsidRPr="00074B87">
        <w:rPr>
          <w:rFonts w:cs="Times New Roman"/>
          <w:sz w:val="20"/>
          <w:szCs w:val="20"/>
          <w:lang w:val="ru-RU"/>
        </w:rPr>
        <w:t>луг, но и</w:t>
      </w:r>
      <w:r w:rsidR="001D1D28" w:rsidRPr="00074B87">
        <w:rPr>
          <w:rFonts w:cs="Times New Roman"/>
          <w:sz w:val="20"/>
          <w:szCs w:val="20"/>
          <w:lang w:val="ru-RU"/>
        </w:rPr>
        <w:t xml:space="preserve"> долгосрочную устойчивость. </w:t>
      </w:r>
    </w:p>
    <w:p w14:paraId="580CC4CE" w14:textId="77777777" w:rsidR="00A05EF7" w:rsidRPr="00074B87" w:rsidRDefault="00A05EF7" w:rsidP="00A05EF7">
      <w:pPr>
        <w:pStyle w:val="a3"/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</w:p>
    <w:p w14:paraId="0D68C233" w14:textId="4DA954E9" w:rsidR="001D1D28" w:rsidRPr="00074B87" w:rsidRDefault="00D27075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 xml:space="preserve">Более того, структуры, участвующие </w:t>
      </w:r>
      <w:r w:rsidR="001D1D28" w:rsidRPr="00074B87">
        <w:rPr>
          <w:rFonts w:cs="Times New Roman"/>
          <w:sz w:val="20"/>
          <w:szCs w:val="20"/>
          <w:lang w:val="ru-RU"/>
        </w:rPr>
        <w:t>в иници</w:t>
      </w:r>
      <w:r w:rsidRPr="00074B87">
        <w:rPr>
          <w:rFonts w:cs="Times New Roman"/>
          <w:sz w:val="20"/>
          <w:szCs w:val="20"/>
          <w:lang w:val="ru-RU"/>
        </w:rPr>
        <w:t>а</w:t>
      </w:r>
      <w:r w:rsidR="001D1D28" w:rsidRPr="00074B87">
        <w:rPr>
          <w:rFonts w:cs="Times New Roman"/>
          <w:sz w:val="20"/>
          <w:szCs w:val="20"/>
          <w:lang w:val="ru-RU"/>
        </w:rPr>
        <w:t xml:space="preserve">тивах по </w:t>
      </w:r>
      <w:r w:rsidRPr="00074B87">
        <w:rPr>
          <w:rFonts w:cs="Times New Roman"/>
          <w:sz w:val="20"/>
          <w:szCs w:val="20"/>
          <w:lang w:val="ru-RU"/>
        </w:rPr>
        <w:t>укреплению</w:t>
      </w:r>
      <w:r w:rsidR="001D1D28" w:rsidRPr="00074B87">
        <w:rPr>
          <w:rFonts w:cs="Times New Roman"/>
          <w:sz w:val="20"/>
          <w:szCs w:val="20"/>
          <w:lang w:val="ru-RU"/>
        </w:rPr>
        <w:t xml:space="preserve"> </w:t>
      </w:r>
      <w:r w:rsidRPr="00074B87">
        <w:rPr>
          <w:rFonts w:cs="Times New Roman"/>
          <w:sz w:val="20"/>
          <w:szCs w:val="20"/>
          <w:lang w:val="ru-RU"/>
        </w:rPr>
        <w:t xml:space="preserve">потенциала, и субъекты местного уровня должны осуществлять обмен информацией </w:t>
      </w:r>
      <w:r w:rsidR="001D1D28" w:rsidRPr="00074B87">
        <w:rPr>
          <w:rFonts w:cs="Times New Roman"/>
          <w:sz w:val="20"/>
          <w:szCs w:val="20"/>
          <w:lang w:val="ru-RU"/>
        </w:rPr>
        <w:t xml:space="preserve">и изучать </w:t>
      </w:r>
      <w:r w:rsidRPr="00074B87">
        <w:rPr>
          <w:rFonts w:cs="Times New Roman"/>
          <w:sz w:val="20"/>
          <w:szCs w:val="20"/>
          <w:lang w:val="ru-RU"/>
        </w:rPr>
        <w:t>возможности реализации совместных подходов к достижению контекстуализированных</w:t>
      </w:r>
      <w:r w:rsidR="001D1D28" w:rsidRPr="00074B87">
        <w:rPr>
          <w:rFonts w:cs="Times New Roman"/>
          <w:sz w:val="20"/>
          <w:szCs w:val="20"/>
          <w:lang w:val="ru-RU"/>
        </w:rPr>
        <w:t xml:space="preserve"> целей в области развития потенциала, чтобы </w:t>
      </w:r>
      <w:r w:rsidRPr="00074B87">
        <w:rPr>
          <w:rFonts w:cs="Times New Roman"/>
          <w:sz w:val="20"/>
          <w:szCs w:val="20"/>
          <w:lang w:val="ru-RU"/>
        </w:rPr>
        <w:t>содействовать объединению своих усилий</w:t>
      </w:r>
      <w:r w:rsidR="001D1D28" w:rsidRPr="00074B87">
        <w:rPr>
          <w:rFonts w:cs="Times New Roman"/>
          <w:sz w:val="20"/>
          <w:szCs w:val="20"/>
          <w:lang w:val="ru-RU"/>
        </w:rPr>
        <w:t xml:space="preserve">. </w:t>
      </w:r>
    </w:p>
    <w:p w14:paraId="7CE6EFF8" w14:textId="77777777" w:rsidR="00A05EF7" w:rsidRPr="00074B87" w:rsidRDefault="00A05EF7" w:rsidP="00A05EF7">
      <w:pPr>
        <w:pStyle w:val="a3"/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</w:p>
    <w:p w14:paraId="29FE37B5" w14:textId="401CF348" w:rsidR="001D1D28" w:rsidRPr="00074B87" w:rsidRDefault="00D86B5D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 xml:space="preserve"> </w:t>
      </w:r>
      <w:r w:rsidR="001D1D28" w:rsidRPr="00074B87">
        <w:rPr>
          <w:rFonts w:cs="Times New Roman"/>
          <w:sz w:val="20"/>
          <w:szCs w:val="20"/>
          <w:lang w:val="ru-RU"/>
        </w:rPr>
        <w:t xml:space="preserve">В идеале, </w:t>
      </w:r>
      <w:r w:rsidR="00D27075" w:rsidRPr="00074B87">
        <w:rPr>
          <w:rFonts w:cs="Times New Roman"/>
          <w:sz w:val="20"/>
          <w:szCs w:val="20"/>
          <w:lang w:val="ru-RU"/>
        </w:rPr>
        <w:t>финансовые доноры и международные структуры</w:t>
      </w:r>
      <w:r w:rsidR="001D1D28" w:rsidRPr="00074B87">
        <w:rPr>
          <w:rFonts w:cs="Times New Roman"/>
          <w:sz w:val="20"/>
          <w:szCs w:val="20"/>
          <w:lang w:val="ru-RU"/>
        </w:rPr>
        <w:t xml:space="preserve"> должны</w:t>
      </w:r>
      <w:r w:rsidR="00D27075" w:rsidRPr="00074B87">
        <w:rPr>
          <w:rFonts w:cs="Times New Roman"/>
          <w:sz w:val="20"/>
          <w:szCs w:val="20"/>
          <w:lang w:val="ru-RU"/>
        </w:rPr>
        <w:t xml:space="preserve"> отдавать предпочтение реализации</w:t>
      </w:r>
      <w:r w:rsidR="001D1D28" w:rsidRPr="00074B87">
        <w:rPr>
          <w:rFonts w:cs="Times New Roman"/>
          <w:sz w:val="20"/>
          <w:szCs w:val="20"/>
          <w:lang w:val="ru-RU"/>
        </w:rPr>
        <w:t xml:space="preserve"> долгосро</w:t>
      </w:r>
      <w:r w:rsidR="00D27075" w:rsidRPr="00074B87">
        <w:rPr>
          <w:rFonts w:cs="Times New Roman"/>
          <w:sz w:val="20"/>
          <w:szCs w:val="20"/>
          <w:lang w:val="ru-RU"/>
        </w:rPr>
        <w:t>чных подходов для укрепления</w:t>
      </w:r>
      <w:r w:rsidR="001D1D28" w:rsidRPr="00074B87">
        <w:rPr>
          <w:rFonts w:cs="Times New Roman"/>
          <w:sz w:val="20"/>
          <w:szCs w:val="20"/>
          <w:lang w:val="ru-RU"/>
        </w:rPr>
        <w:t xml:space="preserve"> потенциала, поддерживаемых многолетним, предсказуемым и гибким </w:t>
      </w:r>
      <w:r w:rsidR="00D27075" w:rsidRPr="00074B87">
        <w:rPr>
          <w:rFonts w:cs="Times New Roman"/>
          <w:sz w:val="20"/>
          <w:szCs w:val="20"/>
          <w:lang w:val="ru-RU"/>
        </w:rPr>
        <w:t>финансированием. Контекстуализированные усилия по укреплению потенциала могут затрагивать определенные группы, сетевые структуры, субъекты местного уровня или национальные организации. Учитывая стратегические перспективы, осуществляемые</w:t>
      </w:r>
      <w:r w:rsidR="001D1D28" w:rsidRPr="00074B87">
        <w:rPr>
          <w:rFonts w:cs="Times New Roman"/>
          <w:sz w:val="20"/>
          <w:szCs w:val="20"/>
          <w:lang w:val="ru-RU"/>
        </w:rPr>
        <w:t xml:space="preserve"> и</w:t>
      </w:r>
      <w:r w:rsidR="00D27075" w:rsidRPr="00074B87">
        <w:rPr>
          <w:rFonts w:cs="Times New Roman"/>
          <w:sz w:val="20"/>
          <w:szCs w:val="20"/>
          <w:lang w:val="ru-RU"/>
        </w:rPr>
        <w:t>нвестиции должны также учитывать необходимость развития систем</w:t>
      </w:r>
      <w:r w:rsidR="001D1D28" w:rsidRPr="00074B87">
        <w:rPr>
          <w:rFonts w:cs="Times New Roman"/>
          <w:sz w:val="20"/>
          <w:szCs w:val="20"/>
          <w:lang w:val="ru-RU"/>
        </w:rPr>
        <w:t xml:space="preserve"> раннего </w:t>
      </w:r>
      <w:r w:rsidR="00D27075" w:rsidRPr="00074B87">
        <w:rPr>
          <w:rFonts w:cs="Times New Roman"/>
          <w:sz w:val="20"/>
          <w:szCs w:val="20"/>
          <w:lang w:val="ru-RU"/>
        </w:rPr>
        <w:t>оповещения</w:t>
      </w:r>
      <w:r w:rsidR="001D1D28" w:rsidRPr="00074B87">
        <w:rPr>
          <w:rFonts w:cs="Times New Roman"/>
          <w:sz w:val="20"/>
          <w:szCs w:val="20"/>
          <w:lang w:val="ru-RU"/>
        </w:rPr>
        <w:t>,</w:t>
      </w:r>
      <w:r w:rsidR="00D27075" w:rsidRPr="00074B87">
        <w:rPr>
          <w:rFonts w:cs="Times New Roman"/>
          <w:sz w:val="20"/>
          <w:szCs w:val="20"/>
          <w:lang w:val="ru-RU"/>
        </w:rPr>
        <w:t xml:space="preserve"> разработки планов дей</w:t>
      </w:r>
      <w:r w:rsidR="001D1D28" w:rsidRPr="00074B87">
        <w:rPr>
          <w:rFonts w:cs="Times New Roman"/>
          <w:sz w:val="20"/>
          <w:szCs w:val="20"/>
          <w:lang w:val="ru-RU"/>
        </w:rPr>
        <w:t>с</w:t>
      </w:r>
      <w:r w:rsidR="00D27075" w:rsidRPr="00074B87">
        <w:rPr>
          <w:rFonts w:cs="Times New Roman"/>
          <w:sz w:val="20"/>
          <w:szCs w:val="20"/>
          <w:lang w:val="ru-RU"/>
        </w:rPr>
        <w:t>т</w:t>
      </w:r>
      <w:r w:rsidR="001D1D28" w:rsidRPr="00074B87">
        <w:rPr>
          <w:rFonts w:cs="Times New Roman"/>
          <w:sz w:val="20"/>
          <w:szCs w:val="20"/>
          <w:lang w:val="ru-RU"/>
        </w:rPr>
        <w:t xml:space="preserve">вий на случай ЧС, </w:t>
      </w:r>
      <w:r w:rsidR="00A05EF7" w:rsidRPr="00074B87">
        <w:rPr>
          <w:rFonts w:cs="Times New Roman"/>
          <w:sz w:val="20"/>
          <w:szCs w:val="20"/>
          <w:lang w:val="ru-RU"/>
        </w:rPr>
        <w:t>расширения</w:t>
      </w:r>
      <w:r w:rsidR="00D27075" w:rsidRPr="00074B87">
        <w:rPr>
          <w:rFonts w:cs="Times New Roman"/>
          <w:sz w:val="20"/>
          <w:szCs w:val="20"/>
          <w:lang w:val="ru-RU"/>
        </w:rPr>
        <w:t xml:space="preserve"> государственных институциональных возможностей, а также поддержки региональных структур. Всем заинтересованным сторонам реко</w:t>
      </w:r>
      <w:r w:rsidR="001D1D28" w:rsidRPr="00074B87">
        <w:rPr>
          <w:rFonts w:cs="Times New Roman"/>
          <w:sz w:val="20"/>
          <w:szCs w:val="20"/>
          <w:lang w:val="ru-RU"/>
        </w:rPr>
        <w:t>мендуется изучить инновационные и нетрадиционные мет</w:t>
      </w:r>
      <w:r w:rsidR="00D27075" w:rsidRPr="00074B87">
        <w:rPr>
          <w:rFonts w:cs="Times New Roman"/>
          <w:sz w:val="20"/>
          <w:szCs w:val="20"/>
          <w:lang w:val="ru-RU"/>
        </w:rPr>
        <w:t xml:space="preserve">оды укрепления потенциала, к числу которых относятся различные </w:t>
      </w:r>
      <w:r w:rsidR="001D1D28" w:rsidRPr="00074B87">
        <w:rPr>
          <w:rFonts w:cs="Times New Roman"/>
          <w:sz w:val="20"/>
          <w:szCs w:val="20"/>
          <w:lang w:val="ru-RU"/>
        </w:rPr>
        <w:t>иници</w:t>
      </w:r>
      <w:r w:rsidR="00D27075" w:rsidRPr="00074B87">
        <w:rPr>
          <w:rFonts w:cs="Times New Roman"/>
          <w:sz w:val="20"/>
          <w:szCs w:val="20"/>
          <w:lang w:val="ru-RU"/>
        </w:rPr>
        <w:t xml:space="preserve">ативы по сопровождению деятельности и обеспечению </w:t>
      </w:r>
      <w:r w:rsidR="00E629D9" w:rsidRPr="00074B87">
        <w:rPr>
          <w:rFonts w:cs="Times New Roman"/>
          <w:sz w:val="20"/>
          <w:szCs w:val="20"/>
          <w:lang w:val="ru-RU"/>
        </w:rPr>
        <w:t>консультативной поддержки. Это позволит повысить эффективность процессов</w:t>
      </w:r>
      <w:r w:rsidR="001D1D28" w:rsidRPr="00074B87">
        <w:rPr>
          <w:rFonts w:cs="Times New Roman"/>
          <w:sz w:val="20"/>
          <w:szCs w:val="20"/>
          <w:lang w:val="ru-RU"/>
        </w:rPr>
        <w:t xml:space="preserve"> партнерского обучения и</w:t>
      </w:r>
      <w:r w:rsidR="00E629D9" w:rsidRPr="00074B87">
        <w:rPr>
          <w:rFonts w:cs="Times New Roman"/>
          <w:sz w:val="20"/>
          <w:szCs w:val="20"/>
          <w:lang w:val="ru-RU"/>
        </w:rPr>
        <w:t xml:space="preserve"> внедрить практику откомандирования  сотрудников</w:t>
      </w:r>
      <w:r w:rsidR="001D1D28" w:rsidRPr="00074B87">
        <w:rPr>
          <w:rFonts w:cs="Times New Roman"/>
          <w:sz w:val="20"/>
          <w:szCs w:val="20"/>
          <w:lang w:val="ru-RU"/>
        </w:rPr>
        <w:t>, в том числе в донорские организа</w:t>
      </w:r>
      <w:r w:rsidR="00E629D9" w:rsidRPr="00074B87">
        <w:rPr>
          <w:rFonts w:cs="Times New Roman"/>
          <w:sz w:val="20"/>
          <w:szCs w:val="20"/>
          <w:lang w:val="ru-RU"/>
        </w:rPr>
        <w:t xml:space="preserve">ции, и обеспечит более широкие возможности </w:t>
      </w:r>
      <w:r w:rsidR="001D1D28" w:rsidRPr="00074B87">
        <w:rPr>
          <w:rFonts w:cs="Times New Roman"/>
          <w:sz w:val="20"/>
          <w:szCs w:val="20"/>
          <w:lang w:val="ru-RU"/>
        </w:rPr>
        <w:t>для двустороннего обучения</w:t>
      </w:r>
      <w:r w:rsidR="00E629D9" w:rsidRPr="00074B87">
        <w:rPr>
          <w:rFonts w:cs="Times New Roman"/>
          <w:sz w:val="20"/>
          <w:szCs w:val="20"/>
          <w:lang w:val="ru-RU"/>
        </w:rPr>
        <w:t>, создав альтернативу</w:t>
      </w:r>
      <w:r w:rsidR="001D1D28" w:rsidRPr="00074B87">
        <w:rPr>
          <w:rFonts w:cs="Times New Roman"/>
          <w:sz w:val="20"/>
          <w:szCs w:val="20"/>
          <w:lang w:val="ru-RU"/>
        </w:rPr>
        <w:t xml:space="preserve"> </w:t>
      </w:r>
      <w:r w:rsidR="00E629D9" w:rsidRPr="00074B87">
        <w:rPr>
          <w:rFonts w:cs="Times New Roman"/>
          <w:sz w:val="20"/>
          <w:szCs w:val="20"/>
          <w:lang w:val="ru-RU"/>
        </w:rPr>
        <w:t>развертыванию бригад</w:t>
      </w:r>
      <w:r w:rsidR="001D1D28" w:rsidRPr="00074B87">
        <w:rPr>
          <w:rFonts w:cs="Times New Roman"/>
          <w:sz w:val="20"/>
          <w:szCs w:val="20"/>
          <w:lang w:val="ru-RU"/>
        </w:rPr>
        <w:t xml:space="preserve"> экстренного реагирования в кризисных ситуациях. </w:t>
      </w:r>
    </w:p>
    <w:p w14:paraId="31ADEF91" w14:textId="77777777" w:rsidR="00A05EF7" w:rsidRPr="00074B87" w:rsidRDefault="00A05EF7" w:rsidP="00A05EF7">
      <w:pPr>
        <w:pStyle w:val="a3"/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</w:p>
    <w:p w14:paraId="2736D237" w14:textId="5476A069" w:rsidR="001D1D28" w:rsidRPr="00074B87" w:rsidRDefault="00E629D9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 xml:space="preserve">Насколько </w:t>
      </w:r>
      <w:r w:rsidR="001D1D28" w:rsidRPr="00074B87">
        <w:rPr>
          <w:rFonts w:cs="Times New Roman"/>
          <w:sz w:val="20"/>
          <w:szCs w:val="20"/>
          <w:lang w:val="ru-RU"/>
        </w:rPr>
        <w:t>во</w:t>
      </w:r>
      <w:r w:rsidRPr="00074B87">
        <w:rPr>
          <w:rFonts w:cs="Times New Roman"/>
          <w:sz w:val="20"/>
          <w:szCs w:val="20"/>
          <w:lang w:val="ru-RU"/>
        </w:rPr>
        <w:t>з</w:t>
      </w:r>
      <w:r w:rsidR="001D1D28" w:rsidRPr="00074B87">
        <w:rPr>
          <w:rFonts w:cs="Times New Roman"/>
          <w:sz w:val="20"/>
          <w:szCs w:val="20"/>
          <w:lang w:val="ru-RU"/>
        </w:rPr>
        <w:t>м</w:t>
      </w:r>
      <w:r w:rsidRPr="00074B87">
        <w:rPr>
          <w:rFonts w:cs="Times New Roman"/>
          <w:sz w:val="20"/>
          <w:szCs w:val="20"/>
          <w:lang w:val="ru-RU"/>
        </w:rPr>
        <w:t>о</w:t>
      </w:r>
      <w:r w:rsidR="001D1D28" w:rsidRPr="00074B87">
        <w:rPr>
          <w:rFonts w:cs="Times New Roman"/>
          <w:sz w:val="20"/>
          <w:szCs w:val="20"/>
          <w:lang w:val="ru-RU"/>
        </w:rPr>
        <w:t>жно,</w:t>
      </w:r>
      <w:r w:rsidRPr="00074B87">
        <w:rPr>
          <w:rFonts w:cs="Times New Roman"/>
          <w:sz w:val="20"/>
          <w:szCs w:val="20"/>
          <w:lang w:val="ru-RU"/>
        </w:rPr>
        <w:t xml:space="preserve"> усилия по укреплению потенциала должны осуществляться заблаговременно</w:t>
      </w:r>
      <w:r w:rsidR="001D1D28" w:rsidRPr="00074B87">
        <w:rPr>
          <w:rFonts w:cs="Times New Roman"/>
          <w:sz w:val="20"/>
          <w:szCs w:val="20"/>
          <w:lang w:val="ru-RU"/>
        </w:rPr>
        <w:t>, а не после</w:t>
      </w:r>
      <w:r w:rsidRPr="00074B87">
        <w:rPr>
          <w:rFonts w:cs="Times New Roman"/>
          <w:sz w:val="20"/>
          <w:szCs w:val="20"/>
          <w:lang w:val="ru-RU"/>
        </w:rPr>
        <w:t xml:space="preserve"> наступления</w:t>
      </w:r>
      <w:r w:rsidR="001D1D28" w:rsidRPr="00074B87">
        <w:rPr>
          <w:rFonts w:cs="Times New Roman"/>
          <w:sz w:val="20"/>
          <w:szCs w:val="20"/>
          <w:lang w:val="ru-RU"/>
        </w:rPr>
        <w:t xml:space="preserve"> кризисных ситуаций. </w:t>
      </w:r>
    </w:p>
    <w:p w14:paraId="43C3318C" w14:textId="77777777" w:rsidR="00842667" w:rsidRPr="00074B87" w:rsidRDefault="00842667" w:rsidP="00A05EF7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</w:p>
    <w:p w14:paraId="5B359F65" w14:textId="7AF2F3D1" w:rsidR="005C11B8" w:rsidRDefault="001D1D28" w:rsidP="00A05EF7">
      <w:pPr>
        <w:spacing w:after="0"/>
        <w:jc w:val="both"/>
        <w:rPr>
          <w:rFonts w:eastAsiaTheme="majorEastAsia" w:cs="Times New Roman"/>
          <w:b/>
          <w:bCs/>
          <w:color w:val="011E41"/>
          <w:lang w:val="ru-RU"/>
        </w:rPr>
      </w:pPr>
      <w:r w:rsidRPr="00074B87">
        <w:rPr>
          <w:rFonts w:eastAsiaTheme="majorEastAsia" w:cs="Times New Roman"/>
          <w:b/>
          <w:bCs/>
          <w:color w:val="011E41"/>
          <w:lang w:val="ru-RU"/>
        </w:rPr>
        <w:t>Р</w:t>
      </w:r>
      <w:r w:rsidR="00E629D9" w:rsidRPr="00074B87">
        <w:rPr>
          <w:rFonts w:eastAsiaTheme="majorEastAsia" w:cs="Times New Roman"/>
          <w:b/>
          <w:bCs/>
          <w:color w:val="011E41"/>
          <w:lang w:val="ru-RU"/>
        </w:rPr>
        <w:t>екомендации для важнейших субъектов деятельности</w:t>
      </w:r>
      <w:r w:rsidRPr="00074B87">
        <w:rPr>
          <w:rFonts w:eastAsiaTheme="majorEastAsia" w:cs="Times New Roman"/>
          <w:b/>
          <w:bCs/>
          <w:color w:val="011E41"/>
          <w:lang w:val="ru-RU"/>
        </w:rPr>
        <w:t xml:space="preserve"> </w:t>
      </w:r>
    </w:p>
    <w:p w14:paraId="6FEA0053" w14:textId="77777777" w:rsidR="00837D83" w:rsidRPr="00074B87" w:rsidRDefault="00837D83" w:rsidP="00A05EF7">
      <w:pPr>
        <w:spacing w:after="0"/>
        <w:jc w:val="both"/>
        <w:rPr>
          <w:rFonts w:eastAsiaTheme="majorEastAsia" w:cs="Times New Roman"/>
          <w:b/>
          <w:bCs/>
          <w:color w:val="011E41"/>
          <w:lang w:val="ru-RU"/>
        </w:rPr>
      </w:pPr>
      <w:bookmarkStart w:id="0" w:name="_GoBack"/>
      <w:bookmarkEnd w:id="0"/>
    </w:p>
    <w:p w14:paraId="1A009A9C" w14:textId="3E20FF89" w:rsidR="005C11B8" w:rsidRPr="00074B87" w:rsidRDefault="001D1D28" w:rsidP="00A05EF7">
      <w:pPr>
        <w:pStyle w:val="a3"/>
        <w:numPr>
          <w:ilvl w:val="0"/>
          <w:numId w:val="1"/>
        </w:numPr>
        <w:spacing w:after="0"/>
        <w:ind w:left="0"/>
        <w:jc w:val="both"/>
        <w:rPr>
          <w:rFonts w:cs="Times New Roman"/>
          <w:b/>
          <w:sz w:val="21"/>
          <w:szCs w:val="21"/>
          <w:lang w:val="ru-RU"/>
        </w:rPr>
      </w:pPr>
      <w:r w:rsidRPr="00074B87">
        <w:rPr>
          <w:rFonts w:cs="Times New Roman"/>
          <w:b/>
          <w:sz w:val="21"/>
          <w:szCs w:val="21"/>
          <w:lang w:val="ru-RU"/>
        </w:rPr>
        <w:t>Финансовые доно</w:t>
      </w:r>
      <w:r w:rsidR="00E629D9" w:rsidRPr="00074B87">
        <w:rPr>
          <w:rFonts w:cs="Times New Roman"/>
          <w:b/>
          <w:sz w:val="21"/>
          <w:szCs w:val="21"/>
          <w:lang w:val="ru-RU"/>
        </w:rPr>
        <w:t>ры и другие международные структуры</w:t>
      </w:r>
      <w:r w:rsidRPr="00074B87">
        <w:rPr>
          <w:rFonts w:cs="Times New Roman"/>
          <w:b/>
          <w:sz w:val="21"/>
          <w:szCs w:val="21"/>
          <w:lang w:val="ru-RU"/>
        </w:rPr>
        <w:t xml:space="preserve"> </w:t>
      </w:r>
    </w:p>
    <w:p w14:paraId="73EA1898" w14:textId="77777777" w:rsidR="00625461" w:rsidRPr="00074B87" w:rsidRDefault="00625461" w:rsidP="00A05EF7">
      <w:pPr>
        <w:pStyle w:val="a3"/>
        <w:spacing w:after="0"/>
        <w:ind w:left="0"/>
        <w:jc w:val="both"/>
        <w:rPr>
          <w:rFonts w:cs="Times New Roman"/>
          <w:b/>
          <w:sz w:val="21"/>
          <w:szCs w:val="21"/>
          <w:lang w:val="ru-RU"/>
        </w:rPr>
      </w:pPr>
    </w:p>
    <w:p w14:paraId="53C608B9" w14:textId="53E88D6B" w:rsidR="00C97984" w:rsidRPr="00074B87" w:rsidRDefault="00C97984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>Финансовые доноры должны</w:t>
      </w:r>
      <w:r w:rsidR="00E629D9" w:rsidRPr="00074B87">
        <w:rPr>
          <w:rFonts w:cs="Times New Roman"/>
          <w:sz w:val="20"/>
          <w:szCs w:val="20"/>
          <w:lang w:val="ru-RU"/>
        </w:rPr>
        <w:t>, по мере необходимости,</w:t>
      </w:r>
      <w:r w:rsidRPr="00074B87">
        <w:rPr>
          <w:rFonts w:cs="Times New Roman"/>
          <w:sz w:val="20"/>
          <w:szCs w:val="20"/>
          <w:lang w:val="ru-RU"/>
        </w:rPr>
        <w:t xml:space="preserve"> заниматься укреплением местного </w:t>
      </w:r>
      <w:r w:rsidR="00E629D9" w:rsidRPr="00074B87">
        <w:rPr>
          <w:rFonts w:cs="Times New Roman"/>
          <w:sz w:val="20"/>
          <w:szCs w:val="20"/>
          <w:lang w:val="ru-RU"/>
        </w:rPr>
        <w:t xml:space="preserve">потенциала, уделяя особое внимание долгосрочным институциональным возможностям. Это важнейшая  </w:t>
      </w:r>
      <w:r w:rsidRPr="00074B87">
        <w:rPr>
          <w:rFonts w:cs="Times New Roman"/>
          <w:sz w:val="20"/>
          <w:szCs w:val="20"/>
          <w:lang w:val="ru-RU"/>
        </w:rPr>
        <w:t>цель их</w:t>
      </w:r>
      <w:r w:rsidR="00E629D9" w:rsidRPr="00074B87">
        <w:rPr>
          <w:rFonts w:cs="Times New Roman"/>
          <w:sz w:val="20"/>
          <w:szCs w:val="20"/>
          <w:lang w:val="ru-RU"/>
        </w:rPr>
        <w:t xml:space="preserve"> усилий по обеспечению поддержки гуманитарной деятельности</w:t>
      </w:r>
      <w:r w:rsidR="00EA4E41" w:rsidRPr="00074B87">
        <w:rPr>
          <w:rFonts w:cs="Times New Roman"/>
          <w:sz w:val="20"/>
          <w:szCs w:val="20"/>
          <w:lang w:val="ru-RU"/>
        </w:rPr>
        <w:t>.</w:t>
      </w:r>
      <w:r w:rsidR="00E629D9" w:rsidRPr="00074B87">
        <w:rPr>
          <w:rFonts w:cs="Times New Roman"/>
          <w:sz w:val="20"/>
          <w:szCs w:val="20"/>
          <w:lang w:val="ru-RU"/>
        </w:rPr>
        <w:t xml:space="preserve"> </w:t>
      </w:r>
      <w:r w:rsidR="00EA4E41" w:rsidRPr="00074B87">
        <w:rPr>
          <w:rFonts w:cs="Times New Roman"/>
          <w:sz w:val="20"/>
          <w:szCs w:val="20"/>
          <w:lang w:val="ru-RU"/>
        </w:rPr>
        <w:t>Инвестиции до</w:t>
      </w:r>
      <w:r w:rsidR="00A05EF7" w:rsidRPr="00074B87">
        <w:rPr>
          <w:rFonts w:cs="Times New Roman"/>
          <w:sz w:val="20"/>
          <w:szCs w:val="20"/>
          <w:lang w:val="ru-RU"/>
        </w:rPr>
        <w:t xml:space="preserve">лжны осуществляться на </w:t>
      </w:r>
      <w:r w:rsidR="00A05EF7" w:rsidRPr="00074B87">
        <w:rPr>
          <w:rFonts w:cs="Times New Roman"/>
          <w:sz w:val="20"/>
          <w:szCs w:val="20"/>
          <w:lang w:val="ru-RU"/>
        </w:rPr>
        <w:lastRenderedPageBreak/>
        <w:t>основе</w:t>
      </w:r>
      <w:r w:rsidR="00EA4E41" w:rsidRPr="00074B87">
        <w:rPr>
          <w:rFonts w:cs="Times New Roman"/>
          <w:sz w:val="20"/>
          <w:szCs w:val="20"/>
          <w:lang w:val="ru-RU"/>
        </w:rPr>
        <w:t xml:space="preserve"> имеющихся примеров передового опыта, а также договоренностей о финансировании</w:t>
      </w:r>
      <w:r w:rsidRPr="00074B87">
        <w:rPr>
          <w:rFonts w:cs="Times New Roman"/>
          <w:sz w:val="20"/>
          <w:szCs w:val="20"/>
          <w:lang w:val="ru-RU"/>
        </w:rPr>
        <w:t>, которые должны быть максимально гибкими и долго</w:t>
      </w:r>
      <w:r w:rsidR="00EA4E41" w:rsidRPr="00074B87">
        <w:rPr>
          <w:rFonts w:cs="Times New Roman"/>
          <w:sz w:val="20"/>
          <w:szCs w:val="20"/>
          <w:lang w:val="ru-RU"/>
        </w:rPr>
        <w:t>срочными,  чтобы содействовать реализации подходов, специально разработанных для каждого субъекта местного уровня</w:t>
      </w:r>
      <w:r w:rsidRPr="00074B87">
        <w:rPr>
          <w:rFonts w:cs="Times New Roman"/>
          <w:sz w:val="20"/>
          <w:szCs w:val="20"/>
          <w:lang w:val="ru-RU"/>
        </w:rPr>
        <w:t xml:space="preserve">.  </w:t>
      </w:r>
    </w:p>
    <w:p w14:paraId="0866A0A1" w14:textId="77777777" w:rsidR="00251CE6" w:rsidRPr="00074B87" w:rsidRDefault="00251CE6" w:rsidP="00A05EF7">
      <w:pPr>
        <w:pStyle w:val="a3"/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</w:p>
    <w:p w14:paraId="4C43E7FC" w14:textId="7F12B389" w:rsidR="00C97984" w:rsidRPr="00074B87" w:rsidRDefault="00EA4E41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>Субъектам международного уровня следует критически оцени</w:t>
      </w:r>
      <w:r w:rsidR="00A05EF7" w:rsidRPr="00074B87">
        <w:rPr>
          <w:rFonts w:cs="Times New Roman"/>
          <w:sz w:val="20"/>
          <w:szCs w:val="20"/>
          <w:lang w:val="ru-RU"/>
        </w:rPr>
        <w:t>ва</w:t>
      </w:r>
      <w:r w:rsidRPr="00074B87">
        <w:rPr>
          <w:rFonts w:cs="Times New Roman"/>
          <w:sz w:val="20"/>
          <w:szCs w:val="20"/>
          <w:lang w:val="ru-RU"/>
        </w:rPr>
        <w:t>ть свои возможности по укреплению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потенциал</w:t>
      </w:r>
      <w:r w:rsidRPr="00074B87">
        <w:rPr>
          <w:rFonts w:cs="Times New Roman"/>
          <w:sz w:val="20"/>
          <w:szCs w:val="20"/>
          <w:lang w:val="ru-RU"/>
        </w:rPr>
        <w:t>а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местных организаций и</w:t>
      </w:r>
      <w:r w:rsidRPr="00074B87">
        <w:rPr>
          <w:rFonts w:cs="Times New Roman"/>
          <w:sz w:val="20"/>
          <w:szCs w:val="20"/>
          <w:lang w:val="ru-RU"/>
        </w:rPr>
        <w:t xml:space="preserve"> в приоритетном порядке использовать местных экспертов и ресурсы для передачи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знаний и навыков.</w:t>
      </w:r>
    </w:p>
    <w:p w14:paraId="1B86271A" w14:textId="77777777" w:rsidR="00A05EF7" w:rsidRPr="00074B87" w:rsidRDefault="00A05EF7" w:rsidP="00A05EF7">
      <w:pPr>
        <w:pStyle w:val="a3"/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</w:p>
    <w:p w14:paraId="5B299553" w14:textId="0B7E835D" w:rsidR="00C97984" w:rsidRPr="00074B87" w:rsidRDefault="00C97984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>Там</w:t>
      </w:r>
      <w:r w:rsidR="00A05EF7" w:rsidRPr="00074B87">
        <w:rPr>
          <w:rFonts w:cs="Times New Roman"/>
          <w:sz w:val="20"/>
          <w:szCs w:val="20"/>
          <w:lang w:val="ru-RU"/>
        </w:rPr>
        <w:t>,</w:t>
      </w:r>
      <w:r w:rsidRPr="00074B87">
        <w:rPr>
          <w:rFonts w:cs="Times New Roman"/>
          <w:sz w:val="20"/>
          <w:szCs w:val="20"/>
          <w:lang w:val="ru-RU"/>
        </w:rPr>
        <w:t xml:space="preserve"> где финансо</w:t>
      </w:r>
      <w:r w:rsidR="00EA4E41" w:rsidRPr="00074B87">
        <w:rPr>
          <w:rFonts w:cs="Times New Roman"/>
          <w:sz w:val="20"/>
          <w:szCs w:val="20"/>
          <w:lang w:val="ru-RU"/>
        </w:rPr>
        <w:t>вые доноры и субъекты международного уровня</w:t>
      </w:r>
      <w:r w:rsidRPr="00074B87">
        <w:rPr>
          <w:rFonts w:cs="Times New Roman"/>
          <w:sz w:val="20"/>
          <w:szCs w:val="20"/>
          <w:lang w:val="ru-RU"/>
        </w:rPr>
        <w:t xml:space="preserve"> требует </w:t>
      </w:r>
      <w:r w:rsidR="00EA4E41" w:rsidRPr="00074B87">
        <w:rPr>
          <w:rFonts w:cs="Times New Roman"/>
          <w:sz w:val="20"/>
          <w:szCs w:val="20"/>
          <w:lang w:val="ru-RU"/>
        </w:rPr>
        <w:t>проведения оценки рисков или недостающих потенциальных возможностей для принятия решений о финансировании</w:t>
      </w:r>
      <w:r w:rsidRPr="00074B87">
        <w:rPr>
          <w:rFonts w:cs="Times New Roman"/>
          <w:sz w:val="20"/>
          <w:szCs w:val="20"/>
          <w:lang w:val="ru-RU"/>
        </w:rPr>
        <w:t xml:space="preserve"> и </w:t>
      </w:r>
      <w:r w:rsidR="00EA4E41" w:rsidRPr="00074B87">
        <w:rPr>
          <w:rFonts w:cs="Times New Roman"/>
          <w:sz w:val="20"/>
          <w:szCs w:val="20"/>
          <w:lang w:val="ru-RU"/>
        </w:rPr>
        <w:t>налаживания партнерств</w:t>
      </w:r>
      <w:r w:rsidRPr="00074B87">
        <w:rPr>
          <w:rFonts w:cs="Times New Roman"/>
          <w:sz w:val="20"/>
          <w:szCs w:val="20"/>
          <w:lang w:val="ru-RU"/>
        </w:rPr>
        <w:t>, необходимо обеспечить инвестиции для устране</w:t>
      </w:r>
      <w:r w:rsidR="00EA4E41" w:rsidRPr="00074B87">
        <w:rPr>
          <w:rFonts w:cs="Times New Roman"/>
          <w:sz w:val="20"/>
          <w:szCs w:val="20"/>
          <w:lang w:val="ru-RU"/>
        </w:rPr>
        <w:t xml:space="preserve">ния любых выявленных пробелов. В идеале, такая </w:t>
      </w:r>
      <w:r w:rsidRPr="00074B87">
        <w:rPr>
          <w:rFonts w:cs="Times New Roman"/>
          <w:sz w:val="20"/>
          <w:szCs w:val="20"/>
          <w:lang w:val="ru-RU"/>
        </w:rPr>
        <w:t>оценка</w:t>
      </w:r>
      <w:r w:rsidR="00EA4E41" w:rsidRPr="00074B87">
        <w:rPr>
          <w:rFonts w:cs="Times New Roman"/>
          <w:sz w:val="20"/>
          <w:szCs w:val="20"/>
          <w:lang w:val="ru-RU"/>
        </w:rPr>
        <w:t xml:space="preserve"> должна основываться на  результатах любых оценок</w:t>
      </w:r>
      <w:r w:rsidR="00762436" w:rsidRPr="00074B87">
        <w:rPr>
          <w:rFonts w:cs="Times New Roman"/>
          <w:sz w:val="20"/>
          <w:szCs w:val="20"/>
          <w:lang w:val="ru-RU"/>
        </w:rPr>
        <w:t>, ранее осуществленных субъектами местного уровня</w:t>
      </w:r>
      <w:r w:rsidRPr="00074B87">
        <w:rPr>
          <w:rFonts w:cs="Times New Roman"/>
          <w:sz w:val="20"/>
          <w:szCs w:val="20"/>
          <w:lang w:val="ru-RU"/>
        </w:rPr>
        <w:t xml:space="preserve">. </w:t>
      </w:r>
    </w:p>
    <w:p w14:paraId="0F822C2D" w14:textId="77777777" w:rsidR="00A05EF7" w:rsidRPr="00074B87" w:rsidRDefault="00A05EF7" w:rsidP="00A05EF7">
      <w:pPr>
        <w:pStyle w:val="a3"/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</w:p>
    <w:p w14:paraId="1931B8B1" w14:textId="50A0188D" w:rsidR="0092533B" w:rsidRPr="00074B87" w:rsidRDefault="0094370B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 xml:space="preserve"> </w:t>
      </w:r>
      <w:r w:rsidR="00762436" w:rsidRPr="00074B87">
        <w:rPr>
          <w:rFonts w:cs="Times New Roman"/>
          <w:sz w:val="20"/>
          <w:szCs w:val="20"/>
          <w:lang w:val="ru-RU"/>
        </w:rPr>
        <w:t>Субъекты международного уровня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должны работать в</w:t>
      </w:r>
      <w:r w:rsidR="00762436" w:rsidRPr="00074B87">
        <w:rPr>
          <w:rFonts w:cs="Times New Roman"/>
          <w:sz w:val="20"/>
          <w:szCs w:val="20"/>
          <w:lang w:val="ru-RU"/>
        </w:rPr>
        <w:t xml:space="preserve"> партнерстве с субъектами местного уровня, осуществляя документирование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пример</w:t>
      </w:r>
      <w:r w:rsidR="00762436" w:rsidRPr="00074B87">
        <w:rPr>
          <w:rFonts w:cs="Times New Roman"/>
          <w:sz w:val="20"/>
          <w:szCs w:val="20"/>
          <w:lang w:val="ru-RU"/>
        </w:rPr>
        <w:t>ов передового опыта и разработку общих подходов к работе по укреплению потенциала с целью завоевать доверие финансовых доноров и обеспечить инвестиции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в расширение масштабов деятельности.</w:t>
      </w:r>
    </w:p>
    <w:p w14:paraId="06A8A478" w14:textId="77777777" w:rsidR="00C97984" w:rsidRPr="00074B87" w:rsidRDefault="00C97984" w:rsidP="00A05EF7">
      <w:pPr>
        <w:pStyle w:val="a3"/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</w:p>
    <w:p w14:paraId="43CBF51B" w14:textId="2C5CBCB3" w:rsidR="008B3C86" w:rsidRPr="00074B87" w:rsidRDefault="00C0140B" w:rsidP="00A05EF7">
      <w:pPr>
        <w:pStyle w:val="a3"/>
        <w:numPr>
          <w:ilvl w:val="0"/>
          <w:numId w:val="1"/>
        </w:numPr>
        <w:spacing w:after="0"/>
        <w:ind w:left="0"/>
        <w:jc w:val="both"/>
        <w:rPr>
          <w:rFonts w:cs="Times New Roman"/>
          <w:b/>
          <w:sz w:val="21"/>
          <w:szCs w:val="21"/>
          <w:lang w:val="ru-RU"/>
        </w:rPr>
      </w:pPr>
      <w:r w:rsidRPr="00074B87">
        <w:rPr>
          <w:rFonts w:cs="Times New Roman"/>
          <w:b/>
          <w:sz w:val="21"/>
          <w:szCs w:val="21"/>
          <w:lang w:val="ru-RU"/>
        </w:rPr>
        <w:t>Субъекты местного уровня</w:t>
      </w:r>
    </w:p>
    <w:p w14:paraId="05C09D43" w14:textId="77777777" w:rsidR="00625461" w:rsidRPr="00074B87" w:rsidRDefault="00625461" w:rsidP="00A05EF7">
      <w:pPr>
        <w:pStyle w:val="a3"/>
        <w:spacing w:after="0"/>
        <w:ind w:left="0"/>
        <w:jc w:val="both"/>
        <w:rPr>
          <w:rFonts w:cs="Times New Roman"/>
          <w:b/>
          <w:sz w:val="21"/>
          <w:szCs w:val="21"/>
          <w:lang w:val="ru-RU"/>
        </w:rPr>
      </w:pPr>
    </w:p>
    <w:p w14:paraId="1219751F" w14:textId="4882A865" w:rsidR="00C97984" w:rsidRPr="00074B87" w:rsidRDefault="00BB3B39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>Рассматривая возможности заключения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партн</w:t>
      </w:r>
      <w:r w:rsidRPr="00074B87">
        <w:rPr>
          <w:rFonts w:cs="Times New Roman"/>
          <w:sz w:val="20"/>
          <w:szCs w:val="20"/>
          <w:lang w:val="ru-RU"/>
        </w:rPr>
        <w:t>ерств</w:t>
      </w:r>
      <w:r w:rsidR="00C97984" w:rsidRPr="00074B87">
        <w:rPr>
          <w:rFonts w:cs="Times New Roman"/>
          <w:sz w:val="20"/>
          <w:szCs w:val="20"/>
          <w:lang w:val="ru-RU"/>
        </w:rPr>
        <w:t>,</w:t>
      </w:r>
      <w:r w:rsidRPr="00074B87">
        <w:rPr>
          <w:rFonts w:cs="Times New Roman"/>
          <w:sz w:val="20"/>
          <w:szCs w:val="20"/>
          <w:lang w:val="ru-RU"/>
        </w:rPr>
        <w:t xml:space="preserve"> субъектам местного уровня</w:t>
      </w:r>
      <w:r w:rsidR="00C97984" w:rsidRPr="00074B87">
        <w:rPr>
          <w:rFonts w:cs="Times New Roman"/>
          <w:sz w:val="20"/>
          <w:szCs w:val="20"/>
          <w:lang w:val="ru-RU"/>
        </w:rPr>
        <w:t xml:space="preserve"> </w:t>
      </w:r>
      <w:r w:rsidRPr="00074B87">
        <w:rPr>
          <w:rFonts w:cs="Times New Roman"/>
          <w:sz w:val="20"/>
          <w:szCs w:val="20"/>
          <w:lang w:val="ru-RU"/>
        </w:rPr>
        <w:t xml:space="preserve">необходимо </w:t>
      </w:r>
      <w:r w:rsidR="00C97984" w:rsidRPr="00074B87">
        <w:rPr>
          <w:rFonts w:cs="Times New Roman"/>
          <w:sz w:val="20"/>
          <w:szCs w:val="20"/>
          <w:lang w:val="ru-RU"/>
        </w:rPr>
        <w:t>оценить все плюсы и мину</w:t>
      </w:r>
      <w:r w:rsidRPr="00074B87">
        <w:rPr>
          <w:rFonts w:cs="Times New Roman"/>
          <w:sz w:val="20"/>
          <w:szCs w:val="20"/>
          <w:lang w:val="ru-RU"/>
        </w:rPr>
        <w:t xml:space="preserve">сы своих </w:t>
      </w:r>
      <w:r w:rsidR="00C97984" w:rsidRPr="00074B87">
        <w:rPr>
          <w:rFonts w:cs="Times New Roman"/>
          <w:sz w:val="20"/>
          <w:szCs w:val="20"/>
          <w:lang w:val="ru-RU"/>
        </w:rPr>
        <w:t>о</w:t>
      </w:r>
      <w:r w:rsidRPr="00074B87">
        <w:rPr>
          <w:rFonts w:cs="Times New Roman"/>
          <w:sz w:val="20"/>
          <w:szCs w:val="20"/>
          <w:lang w:val="ru-RU"/>
        </w:rPr>
        <w:t>рганизационных возможностей. Такой подход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будет содей</w:t>
      </w:r>
      <w:r w:rsidRPr="00074B87">
        <w:rPr>
          <w:rFonts w:cs="Times New Roman"/>
          <w:sz w:val="20"/>
          <w:szCs w:val="20"/>
          <w:lang w:val="ru-RU"/>
        </w:rPr>
        <w:t>ствовать ответственности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за</w:t>
      </w:r>
      <w:r w:rsidRPr="00074B87">
        <w:rPr>
          <w:rFonts w:cs="Times New Roman"/>
          <w:sz w:val="20"/>
          <w:szCs w:val="20"/>
          <w:lang w:val="ru-RU"/>
        </w:rPr>
        <w:t xml:space="preserve"> имеющиеся недостатки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и </w:t>
      </w:r>
      <w:r w:rsidRPr="00074B87">
        <w:rPr>
          <w:rFonts w:cs="Times New Roman"/>
          <w:sz w:val="20"/>
          <w:szCs w:val="20"/>
          <w:lang w:val="ru-RU"/>
        </w:rPr>
        <w:t>поиск возможностей по их устранению</w:t>
      </w:r>
      <w:r w:rsidR="00C97984" w:rsidRPr="00074B87">
        <w:rPr>
          <w:rFonts w:cs="Times New Roman"/>
          <w:sz w:val="20"/>
          <w:szCs w:val="20"/>
          <w:lang w:val="ru-RU"/>
        </w:rPr>
        <w:t xml:space="preserve">. </w:t>
      </w:r>
    </w:p>
    <w:p w14:paraId="1C7FDE20" w14:textId="77777777" w:rsidR="00625461" w:rsidRPr="00074B87" w:rsidRDefault="00625461" w:rsidP="00A05EF7">
      <w:pPr>
        <w:pStyle w:val="a3"/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</w:p>
    <w:p w14:paraId="69B96769" w14:textId="6458A96F" w:rsidR="00270D44" w:rsidRPr="00074B87" w:rsidRDefault="00BB3B39" w:rsidP="00A05EF7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0"/>
          <w:szCs w:val="20"/>
          <w:lang w:val="ru-RU"/>
        </w:rPr>
      </w:pPr>
      <w:r w:rsidRPr="00074B87">
        <w:rPr>
          <w:rFonts w:cs="Times New Roman"/>
          <w:sz w:val="20"/>
          <w:szCs w:val="20"/>
          <w:lang w:val="ru-RU"/>
        </w:rPr>
        <w:t>Субъекты  местного уровня должны также использовать возможности сетевых структур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и </w:t>
      </w:r>
      <w:r w:rsidRPr="00074B87">
        <w:rPr>
          <w:rFonts w:cs="Times New Roman"/>
          <w:sz w:val="20"/>
          <w:szCs w:val="20"/>
          <w:lang w:val="ru-RU"/>
        </w:rPr>
        <w:t xml:space="preserve">такой инструмент, как </w:t>
      </w:r>
      <w:r w:rsidR="00C97984" w:rsidRPr="00074B87">
        <w:rPr>
          <w:rFonts w:cs="Times New Roman"/>
          <w:sz w:val="20"/>
          <w:szCs w:val="20"/>
          <w:lang w:val="ru-RU"/>
        </w:rPr>
        <w:t>партнерские проверки</w:t>
      </w:r>
      <w:r w:rsidRPr="00074B87">
        <w:rPr>
          <w:rFonts w:cs="Times New Roman"/>
          <w:sz w:val="20"/>
          <w:szCs w:val="20"/>
          <w:lang w:val="ru-RU"/>
        </w:rPr>
        <w:t>,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для</w:t>
      </w:r>
      <w:r w:rsidRPr="00074B87">
        <w:rPr>
          <w:rFonts w:cs="Times New Roman"/>
          <w:sz w:val="20"/>
          <w:szCs w:val="20"/>
          <w:lang w:val="ru-RU"/>
        </w:rPr>
        <w:t xml:space="preserve"> </w:t>
      </w:r>
      <w:r w:rsidR="00C97984" w:rsidRPr="00074B87">
        <w:rPr>
          <w:rFonts w:cs="Times New Roman"/>
          <w:sz w:val="20"/>
          <w:szCs w:val="20"/>
          <w:lang w:val="ru-RU"/>
        </w:rPr>
        <w:t xml:space="preserve">обмена </w:t>
      </w:r>
      <w:r w:rsidRPr="00074B87">
        <w:rPr>
          <w:rFonts w:cs="Times New Roman"/>
          <w:sz w:val="20"/>
          <w:szCs w:val="20"/>
          <w:lang w:val="ru-RU"/>
        </w:rPr>
        <w:t>знаниями</w:t>
      </w:r>
      <w:r w:rsidR="00C97984" w:rsidRPr="00074B87">
        <w:rPr>
          <w:rFonts w:cs="Times New Roman"/>
          <w:sz w:val="20"/>
          <w:szCs w:val="20"/>
          <w:lang w:val="ru-RU"/>
        </w:rPr>
        <w:t xml:space="preserve"> и</w:t>
      </w:r>
      <w:r w:rsidRPr="00074B87">
        <w:rPr>
          <w:rFonts w:cs="Times New Roman"/>
          <w:sz w:val="20"/>
          <w:szCs w:val="20"/>
          <w:lang w:val="ru-RU"/>
        </w:rPr>
        <w:t xml:space="preserve"> усиления коллективной позиции</w:t>
      </w:r>
      <w:r w:rsidR="00235331" w:rsidRPr="00074B87">
        <w:rPr>
          <w:rFonts w:cs="Times New Roman"/>
          <w:sz w:val="20"/>
          <w:szCs w:val="20"/>
          <w:lang w:val="ru-RU"/>
        </w:rPr>
        <w:t xml:space="preserve"> в</w:t>
      </w:r>
      <w:r w:rsidRPr="00074B87">
        <w:rPr>
          <w:rFonts w:cs="Times New Roman"/>
          <w:sz w:val="20"/>
          <w:szCs w:val="20"/>
          <w:lang w:val="ru-RU"/>
        </w:rPr>
        <w:t xml:space="preserve"> рамках усилий по обеспечению  более равных</w:t>
      </w:r>
      <w:r w:rsidR="00235331" w:rsidRPr="00074B87">
        <w:rPr>
          <w:rFonts w:cs="Times New Roman"/>
          <w:sz w:val="20"/>
          <w:szCs w:val="20"/>
          <w:lang w:val="ru-RU"/>
        </w:rPr>
        <w:t xml:space="preserve"> па</w:t>
      </w:r>
      <w:r w:rsidRPr="00074B87">
        <w:rPr>
          <w:rFonts w:cs="Times New Roman"/>
          <w:sz w:val="20"/>
          <w:szCs w:val="20"/>
          <w:lang w:val="ru-RU"/>
        </w:rPr>
        <w:t>ртнерств и укреплению</w:t>
      </w:r>
      <w:r w:rsidR="00235331" w:rsidRPr="00074B87">
        <w:rPr>
          <w:rFonts w:cs="Times New Roman"/>
          <w:sz w:val="20"/>
          <w:szCs w:val="20"/>
          <w:lang w:val="ru-RU"/>
        </w:rPr>
        <w:t xml:space="preserve"> потенциала</w:t>
      </w:r>
      <w:r w:rsidR="00F61FF7" w:rsidRPr="00074B87">
        <w:rPr>
          <w:rStyle w:val="a6"/>
          <w:rFonts w:cs="Times New Roman"/>
          <w:sz w:val="20"/>
          <w:szCs w:val="20"/>
          <w:lang w:val="ru-RU"/>
        </w:rPr>
        <w:footnoteReference w:id="3"/>
      </w:r>
      <w:r w:rsidR="007F7D0F" w:rsidRPr="00074B87">
        <w:rPr>
          <w:rFonts w:cs="Times New Roman"/>
          <w:sz w:val="20"/>
          <w:szCs w:val="20"/>
          <w:lang w:val="ru-RU"/>
        </w:rPr>
        <w:t>.</w:t>
      </w:r>
    </w:p>
    <w:sectPr w:rsidR="00270D44" w:rsidRPr="00074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67F16" w14:textId="77777777" w:rsidR="00074B87" w:rsidRDefault="00074B87" w:rsidP="007D3558">
      <w:pPr>
        <w:spacing w:after="0" w:line="240" w:lineRule="auto"/>
      </w:pPr>
      <w:r>
        <w:separator/>
      </w:r>
    </w:p>
  </w:endnote>
  <w:endnote w:type="continuationSeparator" w:id="0">
    <w:p w14:paraId="0F94C3F2" w14:textId="77777777" w:rsidR="00074B87" w:rsidRDefault="00074B87" w:rsidP="007D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1647F" w14:textId="77777777" w:rsidR="00074B87" w:rsidRDefault="00074B87" w:rsidP="007D3558">
      <w:pPr>
        <w:spacing w:after="0" w:line="240" w:lineRule="auto"/>
      </w:pPr>
      <w:r>
        <w:separator/>
      </w:r>
    </w:p>
  </w:footnote>
  <w:footnote w:type="continuationSeparator" w:id="0">
    <w:p w14:paraId="00A2473A" w14:textId="77777777" w:rsidR="00074B87" w:rsidRDefault="00074B87" w:rsidP="007D3558">
      <w:pPr>
        <w:spacing w:after="0" w:line="240" w:lineRule="auto"/>
      </w:pPr>
      <w:r>
        <w:continuationSeparator/>
      </w:r>
    </w:p>
  </w:footnote>
  <w:footnote w:id="1">
    <w:p w14:paraId="6A12087B" w14:textId="45DF5C25" w:rsidR="00074B87" w:rsidRPr="00BE5956" w:rsidRDefault="00074B87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BE5956">
        <w:rPr>
          <w:lang w:val="ru-RU"/>
        </w:rPr>
        <w:t>В Руководящих указаниях используется понятие “субъекты местного уровня”, которое охватывает местных участников операций реагирования, работающих в национальном и субнациональном масштабе.</w:t>
      </w:r>
    </w:p>
  </w:footnote>
  <w:footnote w:id="2">
    <w:p w14:paraId="49A8E2EA" w14:textId="7984A7EE" w:rsidR="00074B87" w:rsidRPr="00BE5956" w:rsidRDefault="00074B87">
      <w:pPr>
        <w:pStyle w:val="a4"/>
        <w:rPr>
          <w:lang w:val="ru-RU"/>
        </w:rPr>
      </w:pPr>
      <w:r w:rsidRPr="00BE5956">
        <w:rPr>
          <w:rStyle w:val="a6"/>
          <w:lang w:val="ru-RU"/>
        </w:rPr>
        <w:footnoteRef/>
      </w:r>
      <w:r w:rsidRPr="00BE5956">
        <w:rPr>
          <w:lang w:val="ru-RU"/>
        </w:rPr>
        <w:t xml:space="preserve"> </w:t>
      </w:r>
      <w:r w:rsidRPr="00BE5956">
        <w:rPr>
          <w:lang w:val="ru-RU"/>
        </w:rPr>
        <w:t xml:space="preserve">Проект основывается на выводах фактологического исследования, проведенного в связи с конфликтом в Южном </w:t>
      </w:r>
      <w:proofErr w:type="spellStart"/>
      <w:r w:rsidRPr="00BE5956">
        <w:rPr>
          <w:lang w:val="ru-RU"/>
        </w:rPr>
        <w:t>Киву</w:t>
      </w:r>
      <w:proofErr w:type="spellEnd"/>
      <w:r w:rsidRPr="00BE5956">
        <w:rPr>
          <w:lang w:val="ru-RU"/>
        </w:rPr>
        <w:t xml:space="preserve">  и Центральном </w:t>
      </w:r>
      <w:proofErr w:type="spellStart"/>
      <w:r w:rsidRPr="00BE5956">
        <w:rPr>
          <w:lang w:val="ru-RU"/>
        </w:rPr>
        <w:t>Касаи</w:t>
      </w:r>
      <w:proofErr w:type="spellEnd"/>
      <w:r w:rsidRPr="00BE5956">
        <w:rPr>
          <w:lang w:val="ru-RU"/>
        </w:rPr>
        <w:t xml:space="preserve"> в </w:t>
      </w:r>
      <w:hyperlink r:id="rId1" w:history="1">
        <w:r w:rsidRPr="00BE5956">
          <w:rPr>
            <w:rStyle w:val="a7"/>
            <w:lang w:val="ru-RU"/>
          </w:rPr>
          <w:t>Демократической Республике Конго</w:t>
        </w:r>
      </w:hyperlink>
      <w:r w:rsidRPr="00BE5956">
        <w:rPr>
          <w:lang w:val="ru-RU"/>
        </w:rPr>
        <w:t xml:space="preserve"> (ДРК) и кризисом беженцев </w:t>
      </w:r>
      <w:proofErr w:type="spellStart"/>
      <w:r w:rsidRPr="00BE5956">
        <w:rPr>
          <w:lang w:val="ru-RU"/>
        </w:rPr>
        <w:t>рохинджа</w:t>
      </w:r>
      <w:proofErr w:type="spellEnd"/>
      <w:r w:rsidRPr="00BE5956">
        <w:rPr>
          <w:lang w:val="ru-RU"/>
        </w:rPr>
        <w:t xml:space="preserve"> в </w:t>
      </w:r>
      <w:hyperlink r:id="rId2" w:history="1">
        <w:r w:rsidRPr="00BE5956">
          <w:rPr>
            <w:rStyle w:val="a7"/>
            <w:lang w:val="ru-RU"/>
          </w:rPr>
          <w:t>Бангладеш</w:t>
        </w:r>
      </w:hyperlink>
      <w:r w:rsidRPr="00BE5956">
        <w:rPr>
          <w:lang w:val="ru-RU"/>
        </w:rPr>
        <w:t xml:space="preserve">, а также на </w:t>
      </w:r>
      <w:hyperlink r:id="rId3" w:history="1">
        <w:r w:rsidRPr="00BE5956">
          <w:rPr>
            <w:rStyle w:val="a7"/>
            <w:lang w:val="ru-RU"/>
          </w:rPr>
          <w:t>результатах анализа литературы</w:t>
        </w:r>
      </w:hyperlink>
      <w:r w:rsidRPr="00BE5956">
        <w:rPr>
          <w:lang w:val="ru-RU"/>
        </w:rPr>
        <w:t>.</w:t>
      </w:r>
    </w:p>
  </w:footnote>
  <w:footnote w:id="3">
    <w:p w14:paraId="2B705EC5" w14:textId="525641AE" w:rsidR="00074B87" w:rsidRDefault="00074B87">
      <w:pPr>
        <w:pStyle w:val="a4"/>
      </w:pPr>
      <w:r w:rsidRPr="00BE5956">
        <w:rPr>
          <w:rStyle w:val="a6"/>
          <w:lang w:val="ru-RU"/>
        </w:rPr>
        <w:footnoteRef/>
      </w:r>
      <w:r w:rsidRPr="00BE5956">
        <w:rPr>
          <w:lang w:val="ru-RU"/>
        </w:rPr>
        <w:t xml:space="preserve"> </w:t>
      </w:r>
      <w:r w:rsidRPr="00074B87">
        <w:rPr>
          <w:lang w:val="ru-RU"/>
        </w:rPr>
        <w:t xml:space="preserve">Один </w:t>
      </w:r>
      <w:r w:rsidR="00C71407">
        <w:rPr>
          <w:lang w:val="ru-RU"/>
        </w:rPr>
        <w:t xml:space="preserve">из </w:t>
      </w:r>
      <w:r w:rsidRPr="00074B87">
        <w:rPr>
          <w:lang w:val="ru-RU"/>
        </w:rPr>
        <w:t>пример</w:t>
      </w:r>
      <w:r>
        <w:rPr>
          <w:lang w:val="ru-RU"/>
        </w:rPr>
        <w:t>ов использования данного под</w:t>
      </w:r>
      <w:r w:rsidRPr="00074B87">
        <w:rPr>
          <w:lang w:val="ru-RU"/>
        </w:rPr>
        <w:t>ход</w:t>
      </w:r>
      <w:r>
        <w:rPr>
          <w:lang w:val="ru-RU"/>
        </w:rPr>
        <w:t>а – это Программа предоставления</w:t>
      </w:r>
      <w:r w:rsidRPr="00074B87">
        <w:rPr>
          <w:lang w:val="ru-RU"/>
        </w:rPr>
        <w:t xml:space="preserve"> возможностей местным и национальным гуманитарным организациям, осуществляемая </w:t>
      </w:r>
      <w:proofErr w:type="spellStart"/>
      <w:r w:rsidRPr="00074B87">
        <w:rPr>
          <w:i/>
          <w:lang w:val="ru-RU"/>
        </w:rPr>
        <w:t>Oxfam</w:t>
      </w:r>
      <w:proofErr w:type="spellEnd"/>
      <w:r>
        <w:rPr>
          <w:lang w:val="ru-RU"/>
        </w:rPr>
        <w:t xml:space="preserve">, </w:t>
      </w:r>
      <w:r w:rsidR="00C71407">
        <w:rPr>
          <w:lang w:val="ru-RU"/>
        </w:rPr>
        <w:t>в рамках которой</w:t>
      </w:r>
      <w:r>
        <w:rPr>
          <w:lang w:val="ru-RU"/>
        </w:rPr>
        <w:t xml:space="preserve"> проводит</w:t>
      </w:r>
      <w:r w:rsidR="00C71407">
        <w:rPr>
          <w:lang w:val="ru-RU"/>
        </w:rPr>
        <w:t>ся</w:t>
      </w:r>
      <w:r w:rsidRPr="00074B87">
        <w:rPr>
          <w:lang w:val="ru-RU"/>
        </w:rPr>
        <w:t xml:space="preserve"> оц</w:t>
      </w:r>
      <w:r w:rsidR="00C71407">
        <w:rPr>
          <w:lang w:val="ru-RU"/>
        </w:rPr>
        <w:t>енка</w:t>
      </w:r>
      <w:r>
        <w:rPr>
          <w:lang w:val="ru-RU"/>
        </w:rPr>
        <w:t xml:space="preserve"> потенциала на уровне “сетевых</w:t>
      </w:r>
      <w:r w:rsidRPr="00074B87">
        <w:rPr>
          <w:lang w:val="ru-RU"/>
        </w:rPr>
        <w:t>” организаций в заданном</w:t>
      </w:r>
      <w:r w:rsidR="00C71407">
        <w:rPr>
          <w:lang w:val="ru-RU"/>
        </w:rPr>
        <w:t xml:space="preserve"> контексте и организую</w:t>
      </w:r>
      <w:r>
        <w:rPr>
          <w:lang w:val="ru-RU"/>
        </w:rPr>
        <w:t>т</w:t>
      </w:r>
      <w:r w:rsidR="00C71407">
        <w:rPr>
          <w:lang w:val="ru-RU"/>
        </w:rPr>
        <w:t>ся</w:t>
      </w:r>
      <w:r w:rsidRPr="00074B87">
        <w:rPr>
          <w:lang w:val="ru-RU"/>
        </w:rPr>
        <w:t xml:space="preserve"> совместные</w:t>
      </w:r>
      <w:r>
        <w:rPr>
          <w:lang w:val="ru-RU"/>
        </w:rPr>
        <w:t xml:space="preserve"> дискуссии для определения слабых сторон деятельности  и существующих экс</w:t>
      </w:r>
      <w:r w:rsidR="00C71407">
        <w:rPr>
          <w:lang w:val="ru-RU"/>
        </w:rPr>
        <w:t>пертных возможностей</w:t>
      </w:r>
      <w:r w:rsidRPr="00074B87">
        <w:rPr>
          <w:lang w:val="ru-RU"/>
        </w:rPr>
        <w:t>. Другие примеры эффективных</w:t>
      </w:r>
      <w:r>
        <w:rPr>
          <w:lang w:val="ru-RU"/>
        </w:rPr>
        <w:t xml:space="preserve"> подходов к укреплению</w:t>
      </w:r>
      <w:r w:rsidRPr="00074B87">
        <w:rPr>
          <w:lang w:val="ru-RU"/>
        </w:rPr>
        <w:t xml:space="preserve"> потенциала для других</w:t>
      </w:r>
      <w:r>
        <w:rPr>
          <w:lang w:val="ru-RU"/>
        </w:rPr>
        <w:t>,</w:t>
      </w:r>
      <w:r w:rsidRPr="00074B87">
        <w:rPr>
          <w:lang w:val="ru-RU"/>
        </w:rPr>
        <w:t xml:space="preserve"> более локализованных гуманитарных операций реагирования, можно найти в разделе  3.2  </w:t>
      </w:r>
      <w:hyperlink r:id="rId4" w:history="1">
        <w:r>
          <w:rPr>
            <w:rStyle w:val="a7"/>
            <w:lang w:val="ru-RU"/>
          </w:rPr>
          <w:t>Независимого годового отчета по "Большой сделке" за 2019 год</w:t>
        </w:r>
      </w:hyperlink>
      <w:r w:rsidRPr="00074B87">
        <w:rPr>
          <w:lang w:val="ru-RU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721"/>
    <w:multiLevelType w:val="hybridMultilevel"/>
    <w:tmpl w:val="C8168E78"/>
    <w:lvl w:ilvl="0" w:tplc="501E1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49E6"/>
    <w:multiLevelType w:val="hybridMultilevel"/>
    <w:tmpl w:val="A0648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8290A"/>
    <w:multiLevelType w:val="hybridMultilevel"/>
    <w:tmpl w:val="40B827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A073D"/>
    <w:multiLevelType w:val="hybridMultilevel"/>
    <w:tmpl w:val="91B66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3857A0"/>
    <w:multiLevelType w:val="hybridMultilevel"/>
    <w:tmpl w:val="5EB4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5A5FA8"/>
    <w:multiLevelType w:val="hybridMultilevel"/>
    <w:tmpl w:val="1140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F6006"/>
    <w:multiLevelType w:val="hybridMultilevel"/>
    <w:tmpl w:val="0302A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773774"/>
    <w:multiLevelType w:val="hybridMultilevel"/>
    <w:tmpl w:val="62E8D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6"/>
    <w:rsid w:val="00015814"/>
    <w:rsid w:val="000229F9"/>
    <w:rsid w:val="000575AA"/>
    <w:rsid w:val="00067D41"/>
    <w:rsid w:val="00074B87"/>
    <w:rsid w:val="000B3C3A"/>
    <w:rsid w:val="000B5BCA"/>
    <w:rsid w:val="000C5BBD"/>
    <w:rsid w:val="000D0482"/>
    <w:rsid w:val="000D3FB1"/>
    <w:rsid w:val="000E2A36"/>
    <w:rsid w:val="000E3EB6"/>
    <w:rsid w:val="001142E8"/>
    <w:rsid w:val="001245CA"/>
    <w:rsid w:val="00142949"/>
    <w:rsid w:val="00156276"/>
    <w:rsid w:val="00185907"/>
    <w:rsid w:val="00190036"/>
    <w:rsid w:val="001912CB"/>
    <w:rsid w:val="001A7017"/>
    <w:rsid w:val="001C0DB0"/>
    <w:rsid w:val="001C2524"/>
    <w:rsid w:val="001D1D28"/>
    <w:rsid w:val="001F36D3"/>
    <w:rsid w:val="001F624B"/>
    <w:rsid w:val="00223099"/>
    <w:rsid w:val="00223EB1"/>
    <w:rsid w:val="00235331"/>
    <w:rsid w:val="00235CF8"/>
    <w:rsid w:val="00250FA2"/>
    <w:rsid w:val="00251CE6"/>
    <w:rsid w:val="00253946"/>
    <w:rsid w:val="00255F04"/>
    <w:rsid w:val="0025689F"/>
    <w:rsid w:val="00257093"/>
    <w:rsid w:val="00264CA3"/>
    <w:rsid w:val="00270D44"/>
    <w:rsid w:val="002838E7"/>
    <w:rsid w:val="00297C3D"/>
    <w:rsid w:val="002A0D30"/>
    <w:rsid w:val="002A182B"/>
    <w:rsid w:val="002A7CFC"/>
    <w:rsid w:val="002C69F5"/>
    <w:rsid w:val="002D0DC2"/>
    <w:rsid w:val="002D1CDD"/>
    <w:rsid w:val="0031005C"/>
    <w:rsid w:val="00313B48"/>
    <w:rsid w:val="00325D30"/>
    <w:rsid w:val="00337123"/>
    <w:rsid w:val="003503A5"/>
    <w:rsid w:val="00350FA2"/>
    <w:rsid w:val="0036180D"/>
    <w:rsid w:val="003922DD"/>
    <w:rsid w:val="003D5A55"/>
    <w:rsid w:val="003F6051"/>
    <w:rsid w:val="00447ACE"/>
    <w:rsid w:val="00453056"/>
    <w:rsid w:val="00485EB9"/>
    <w:rsid w:val="004B42D7"/>
    <w:rsid w:val="004D7BA8"/>
    <w:rsid w:val="004D7F0A"/>
    <w:rsid w:val="00554ADA"/>
    <w:rsid w:val="00571A1B"/>
    <w:rsid w:val="00573046"/>
    <w:rsid w:val="00573EDD"/>
    <w:rsid w:val="005A5733"/>
    <w:rsid w:val="005A78CE"/>
    <w:rsid w:val="005B34C5"/>
    <w:rsid w:val="005B7A49"/>
    <w:rsid w:val="005C11B8"/>
    <w:rsid w:val="005D02EF"/>
    <w:rsid w:val="005D0F2A"/>
    <w:rsid w:val="005D7B34"/>
    <w:rsid w:val="005E7A7C"/>
    <w:rsid w:val="005F17BA"/>
    <w:rsid w:val="005F7ED9"/>
    <w:rsid w:val="0060125B"/>
    <w:rsid w:val="0061528D"/>
    <w:rsid w:val="00625461"/>
    <w:rsid w:val="00626B9D"/>
    <w:rsid w:val="00644A4B"/>
    <w:rsid w:val="00657481"/>
    <w:rsid w:val="0067125E"/>
    <w:rsid w:val="00671AEF"/>
    <w:rsid w:val="006728F8"/>
    <w:rsid w:val="00681438"/>
    <w:rsid w:val="00683B76"/>
    <w:rsid w:val="006B2A85"/>
    <w:rsid w:val="006C1616"/>
    <w:rsid w:val="006C2779"/>
    <w:rsid w:val="00707935"/>
    <w:rsid w:val="00720703"/>
    <w:rsid w:val="00730BDF"/>
    <w:rsid w:val="00736D98"/>
    <w:rsid w:val="0075119D"/>
    <w:rsid w:val="00761A43"/>
    <w:rsid w:val="00762436"/>
    <w:rsid w:val="007630E9"/>
    <w:rsid w:val="0076385E"/>
    <w:rsid w:val="00767493"/>
    <w:rsid w:val="00773A2A"/>
    <w:rsid w:val="00776558"/>
    <w:rsid w:val="00786B98"/>
    <w:rsid w:val="007923C5"/>
    <w:rsid w:val="00792C47"/>
    <w:rsid w:val="007B0427"/>
    <w:rsid w:val="007B6469"/>
    <w:rsid w:val="007D3558"/>
    <w:rsid w:val="007F664E"/>
    <w:rsid w:val="007F7D0F"/>
    <w:rsid w:val="00813FD7"/>
    <w:rsid w:val="00823239"/>
    <w:rsid w:val="00837D83"/>
    <w:rsid w:val="00840B30"/>
    <w:rsid w:val="00842667"/>
    <w:rsid w:val="0084346E"/>
    <w:rsid w:val="00855B4F"/>
    <w:rsid w:val="00857520"/>
    <w:rsid w:val="00882DEC"/>
    <w:rsid w:val="008938C5"/>
    <w:rsid w:val="008939AB"/>
    <w:rsid w:val="00895CA6"/>
    <w:rsid w:val="008B1216"/>
    <w:rsid w:val="008B3C86"/>
    <w:rsid w:val="008B4B91"/>
    <w:rsid w:val="008D0975"/>
    <w:rsid w:val="008E1615"/>
    <w:rsid w:val="008E46AE"/>
    <w:rsid w:val="00923476"/>
    <w:rsid w:val="0092533B"/>
    <w:rsid w:val="0093217C"/>
    <w:rsid w:val="0094370B"/>
    <w:rsid w:val="00950EA4"/>
    <w:rsid w:val="00965019"/>
    <w:rsid w:val="00981634"/>
    <w:rsid w:val="009A6AF5"/>
    <w:rsid w:val="009B4559"/>
    <w:rsid w:val="009D0761"/>
    <w:rsid w:val="009F3108"/>
    <w:rsid w:val="009F4C51"/>
    <w:rsid w:val="00A0318C"/>
    <w:rsid w:val="00A05EF7"/>
    <w:rsid w:val="00A167C7"/>
    <w:rsid w:val="00A5540F"/>
    <w:rsid w:val="00A67E99"/>
    <w:rsid w:val="00A70112"/>
    <w:rsid w:val="00AA0E9B"/>
    <w:rsid w:val="00AB5CEB"/>
    <w:rsid w:val="00AC0A2E"/>
    <w:rsid w:val="00AC3B61"/>
    <w:rsid w:val="00AE6B34"/>
    <w:rsid w:val="00B24723"/>
    <w:rsid w:val="00B520C4"/>
    <w:rsid w:val="00B743C1"/>
    <w:rsid w:val="00B8202E"/>
    <w:rsid w:val="00BA66C8"/>
    <w:rsid w:val="00BB3B39"/>
    <w:rsid w:val="00BC5682"/>
    <w:rsid w:val="00BE5956"/>
    <w:rsid w:val="00BF06C7"/>
    <w:rsid w:val="00C01192"/>
    <w:rsid w:val="00C0140B"/>
    <w:rsid w:val="00C01EDD"/>
    <w:rsid w:val="00C13E49"/>
    <w:rsid w:val="00C6203D"/>
    <w:rsid w:val="00C65280"/>
    <w:rsid w:val="00C71407"/>
    <w:rsid w:val="00C7366E"/>
    <w:rsid w:val="00C847F1"/>
    <w:rsid w:val="00C849C4"/>
    <w:rsid w:val="00C85267"/>
    <w:rsid w:val="00C97984"/>
    <w:rsid w:val="00D27075"/>
    <w:rsid w:val="00D35C0D"/>
    <w:rsid w:val="00D81B15"/>
    <w:rsid w:val="00D86B5D"/>
    <w:rsid w:val="00D91B57"/>
    <w:rsid w:val="00DB7333"/>
    <w:rsid w:val="00DE3DBD"/>
    <w:rsid w:val="00DE7F2D"/>
    <w:rsid w:val="00E14D6E"/>
    <w:rsid w:val="00E4649B"/>
    <w:rsid w:val="00E527F0"/>
    <w:rsid w:val="00E629D9"/>
    <w:rsid w:val="00E62FA7"/>
    <w:rsid w:val="00E77B71"/>
    <w:rsid w:val="00EA4E41"/>
    <w:rsid w:val="00EB5CF3"/>
    <w:rsid w:val="00F13B36"/>
    <w:rsid w:val="00F15986"/>
    <w:rsid w:val="00F21602"/>
    <w:rsid w:val="00F469B9"/>
    <w:rsid w:val="00F52D71"/>
    <w:rsid w:val="00F55B4A"/>
    <w:rsid w:val="00F56437"/>
    <w:rsid w:val="00F61FF7"/>
    <w:rsid w:val="00F63337"/>
    <w:rsid w:val="00F6778B"/>
    <w:rsid w:val="00F921B1"/>
    <w:rsid w:val="00FB466C"/>
    <w:rsid w:val="00FC43FA"/>
    <w:rsid w:val="00FC76EA"/>
    <w:rsid w:val="00FD2DEB"/>
    <w:rsid w:val="00FD3A96"/>
    <w:rsid w:val="00FE0E6F"/>
    <w:rsid w:val="00FE374B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21E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35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35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3558"/>
    <w:rPr>
      <w:vertAlign w:val="superscript"/>
    </w:rPr>
  </w:style>
  <w:style w:type="character" w:styleId="a7">
    <w:name w:val="Hyperlink"/>
    <w:basedOn w:val="a0"/>
    <w:uiPriority w:val="99"/>
    <w:unhideWhenUsed/>
    <w:rsid w:val="007D355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D355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D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2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07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0703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72070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07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070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B733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2A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0D30"/>
  </w:style>
  <w:style w:type="paragraph" w:styleId="af2">
    <w:name w:val="footer"/>
    <w:basedOn w:val="a"/>
    <w:link w:val="af3"/>
    <w:uiPriority w:val="99"/>
    <w:unhideWhenUsed/>
    <w:rsid w:val="002A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0D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35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35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3558"/>
    <w:rPr>
      <w:vertAlign w:val="superscript"/>
    </w:rPr>
  </w:style>
  <w:style w:type="character" w:styleId="a7">
    <w:name w:val="Hyperlink"/>
    <w:basedOn w:val="a0"/>
    <w:uiPriority w:val="99"/>
    <w:unhideWhenUsed/>
    <w:rsid w:val="007D355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D355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D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2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07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0703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72070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07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070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B733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2A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0D30"/>
  </w:style>
  <w:style w:type="paragraph" w:styleId="af2">
    <w:name w:val="footer"/>
    <w:basedOn w:val="a"/>
    <w:link w:val="af3"/>
    <w:uiPriority w:val="99"/>
    <w:unhideWhenUsed/>
    <w:rsid w:val="002A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di.org/publications/11238-local-possible-international-necessary-understanding-capacity-and-complementarity-humanitarian" TargetMode="External"/><Relationship Id="rId4" Type="http://schemas.openxmlformats.org/officeDocument/2006/relationships/hyperlink" Target="https://www.odi.org/sites/odi.org.uk/files/resource-documents/12734.pdf" TargetMode="External"/><Relationship Id="rId1" Type="http://schemas.openxmlformats.org/officeDocument/2006/relationships/hyperlink" Target="https://www.odi.org/publications/11292-local-humanitarian-action-democratic-republic-congo-capacity-and-complementarity" TargetMode="External"/><Relationship Id="rId2" Type="http://schemas.openxmlformats.org/officeDocument/2006/relationships/hyperlink" Target="https://www.odi.org/publications/11251-capacity-and-complementarity-rohingya-response-banglade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B5FCB1F5A27479A81E0AC3152C265" ma:contentTypeVersion="12" ma:contentTypeDescription="Create a new document." ma:contentTypeScope="" ma:versionID="e5e1d12c9927af38f21bfa78ef84b74d">
  <xsd:schema xmlns:xsd="http://www.w3.org/2001/XMLSchema" xmlns:xs="http://www.w3.org/2001/XMLSchema" xmlns:p="http://schemas.microsoft.com/office/2006/metadata/properties" xmlns:ns2="b77cb89f-b9e6-4931-9f56-1625ecea4cc2" xmlns:ns3="9050ad3a-5f6e-4ef7-872e-a5e19a831b67" targetNamespace="http://schemas.microsoft.com/office/2006/metadata/properties" ma:root="true" ma:fieldsID="0c8f678c5a0fb2e020a983c45e0a5a3d" ns2:_="" ns3:_="">
    <xsd:import namespace="b77cb89f-b9e6-4931-9f56-1625ecea4cc2"/>
    <xsd:import namespace="9050ad3a-5f6e-4ef7-872e-a5e19a831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b89f-b9e6-4931-9f56-1625ecea4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ad3a-5f6e-4ef7-872e-a5e19a831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0691255-C794-4177-93DE-1F2040372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5BF8B-6707-4869-9664-18F089BF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cb89f-b9e6-4931-9f56-1625ecea4cc2"/>
    <ds:schemaRef ds:uri="9050ad3a-5f6e-4ef7-872e-a5e19a83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5F0F4-9C06-4A88-A7D7-626805C01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4BB87-F01D-554A-A721-934C96FE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1214</Words>
  <Characters>6924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Мария</cp:lastModifiedBy>
  <cp:revision>25</cp:revision>
  <cp:lastPrinted>2019-10-14T18:08:00Z</cp:lastPrinted>
  <dcterms:created xsi:type="dcterms:W3CDTF">2020-07-08T14:20:00Z</dcterms:created>
  <dcterms:modified xsi:type="dcterms:W3CDTF">2020-07-14T10:23:00Z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0x010100623B5FCB1F5A27479A81E0AC3152C265</vt:lpwstr>
  </property>
</Properties>
</file>