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E614E" w14:textId="7E40EBBC" w:rsidR="00AC0A2E" w:rsidRPr="008E116A" w:rsidRDefault="00253892">
      <w:pPr>
        <w:rPr>
          <w:rFonts w:ascii="Helvetica" w:hAnsi="Helvetica"/>
          <w:b/>
          <w:sz w:val="21"/>
          <w:szCs w:val="21"/>
          <w:lang w:val="fr-FR"/>
        </w:rPr>
      </w:pPr>
      <w:r w:rsidRPr="008E116A">
        <w:rPr>
          <w:rFonts w:ascii="Helvetica" w:hAnsi="Helvetica"/>
          <w:b/>
          <w:sz w:val="21"/>
          <w:szCs w:val="21"/>
          <w:lang w:val="fr-FR" w:eastAsia="en-GB"/>
        </w:rPr>
        <mc:AlternateContent>
          <mc:Choice Requires="wps">
            <w:drawing>
              <wp:anchor distT="0" distB="0" distL="114300" distR="114300" simplePos="0" relativeHeight="251662336" behindDoc="0" locked="0" layoutInCell="1" allowOverlap="1" wp14:anchorId="67AC288B" wp14:editId="14442241">
                <wp:simplePos x="0" y="0"/>
                <wp:positionH relativeFrom="column">
                  <wp:posOffset>0</wp:posOffset>
                </wp:positionH>
                <wp:positionV relativeFrom="paragraph">
                  <wp:posOffset>3427013</wp:posOffset>
                </wp:positionV>
                <wp:extent cx="5780598" cy="1812898"/>
                <wp:effectExtent l="0" t="0" r="0" b="0"/>
                <wp:wrapNone/>
                <wp:docPr id="6" name="Text Box 6"/>
                <wp:cNvGraphicFramePr/>
                <a:graphic xmlns:a="http://schemas.openxmlformats.org/drawingml/2006/main">
                  <a:graphicData uri="http://schemas.microsoft.com/office/word/2010/wordprocessingShape">
                    <wps:wsp>
                      <wps:cNvSpPr txBox="1"/>
                      <wps:spPr>
                        <a:xfrm>
                          <a:off x="0" y="0"/>
                          <a:ext cx="5780598" cy="1812898"/>
                        </a:xfrm>
                        <a:prstGeom prst="rect">
                          <a:avLst/>
                        </a:prstGeom>
                        <a:noFill/>
                        <a:ln w="6350">
                          <a:noFill/>
                        </a:ln>
                      </wps:spPr>
                      <wps:txbx>
                        <w:txbxContent>
                          <w:p w14:paraId="023C3CC3" w14:textId="76D4ABAC" w:rsidR="00C01EDD" w:rsidRPr="00FC116F" w:rsidRDefault="00FC116F" w:rsidP="00C01EDD">
                            <w:pPr>
                              <w:jc w:val="center"/>
                              <w:rPr>
                                <w:sz w:val="64"/>
                                <w:szCs w:val="64"/>
                                <w:lang w:val="fr-FR"/>
                              </w:rPr>
                            </w:pPr>
                            <w:r w:rsidRPr="00FC116F">
                              <w:rPr>
                                <w:sz w:val="64"/>
                                <w:szCs w:val="64"/>
                                <w:lang w:val="fr-FR"/>
                              </w:rPr>
                              <w:t>N</w:t>
                            </w:r>
                            <w:r w:rsidR="00C01EDD" w:rsidRPr="00FC116F">
                              <w:rPr>
                                <w:sz w:val="64"/>
                                <w:szCs w:val="64"/>
                                <w:lang w:val="fr-FR"/>
                              </w:rPr>
                              <w:t xml:space="preserve">ote </w:t>
                            </w:r>
                            <w:r w:rsidRPr="00FC116F">
                              <w:rPr>
                                <w:sz w:val="64"/>
                                <w:szCs w:val="64"/>
                                <w:lang w:val="fr-FR"/>
                              </w:rPr>
                              <w:t>d’</w:t>
                            </w:r>
                            <w:r>
                              <w:rPr>
                                <w:sz w:val="64"/>
                                <w:szCs w:val="64"/>
                                <w:lang w:val="fr-FR"/>
                              </w:rPr>
                              <w:t>orientation</w:t>
                            </w:r>
                            <w:r>
                              <w:rPr>
                                <w:sz w:val="64"/>
                                <w:szCs w:val="64"/>
                                <w:lang w:val="fr-FR"/>
                              </w:rPr>
                              <w:br/>
                              <w:t>sur le renforcement</w:t>
                            </w:r>
                            <w:r w:rsidR="00253892">
                              <w:rPr>
                                <w:sz w:val="64"/>
                                <w:szCs w:val="64"/>
                                <w:lang w:val="fr-FR"/>
                              </w:rPr>
                              <w:t xml:space="preserve"> </w:t>
                            </w:r>
                            <w:r w:rsidRPr="00FC116F">
                              <w:rPr>
                                <w:sz w:val="64"/>
                                <w:szCs w:val="64"/>
                                <w:lang w:val="fr-FR"/>
                              </w:rPr>
                              <w:t xml:space="preserve">des </w:t>
                            </w:r>
                            <w:r w:rsidR="00C01EDD" w:rsidRPr="00FC116F">
                              <w:rPr>
                                <w:sz w:val="64"/>
                                <w:szCs w:val="64"/>
                                <w:lang w:val="fr-FR"/>
                              </w:rPr>
                              <w:t>capacit</w:t>
                            </w:r>
                            <w:r w:rsidRPr="00FC116F">
                              <w:rPr>
                                <w:sz w:val="64"/>
                                <w:szCs w:val="64"/>
                                <w:lang w:val="fr-FR"/>
                              </w:rPr>
                              <w:t>és</w:t>
                            </w:r>
                            <w:r>
                              <w:rPr>
                                <w:sz w:val="64"/>
                                <w:szCs w:val="64"/>
                                <w:lang w:val="fr-FR"/>
                              </w:rPr>
                              <w:br/>
                              <w:t>aux fins de la</w:t>
                            </w:r>
                            <w:r w:rsidR="00C01EDD" w:rsidRPr="00FC116F">
                              <w:rPr>
                                <w:sz w:val="64"/>
                                <w:szCs w:val="64"/>
                                <w:lang w:val="fr-FR"/>
                              </w:rPr>
                              <w:t xml:space="preserve"> localisation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C288B" id="_x0000_t202" coordsize="21600,21600" o:spt="202" path="m,l,21600r21600,l21600,xe">
                <v:stroke joinstyle="miter"/>
                <v:path gradientshapeok="t" o:connecttype="rect"/>
              </v:shapetype>
              <v:shape id="Text Box 6" o:spid="_x0000_s1026" type="#_x0000_t202" style="position:absolute;margin-left:0;margin-top:269.85pt;width:455.15pt;height:1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" filled="f" stroked="f" strokeweight=".5pt">
                <v:textbox>
                  <w:txbxContent>
                    <w:p w14:paraId="023C3CC3" w14:textId="76D4ABAC" w:rsidR="00C01EDD" w:rsidRPr="00FC116F" w:rsidRDefault="00FC116F" w:rsidP="00C01EDD">
                      <w:pPr>
                        <w:jc w:val="center"/>
                        <w:rPr>
                          <w:sz w:val="64"/>
                          <w:szCs w:val="64"/>
                          <w:lang w:val="fr-FR"/>
                        </w:rPr>
                      </w:pPr>
                      <w:r w:rsidRPr="00FC116F">
                        <w:rPr>
                          <w:sz w:val="64"/>
                          <w:szCs w:val="64"/>
                          <w:lang w:val="fr-FR"/>
                        </w:rPr>
                        <w:t>N</w:t>
                      </w:r>
                      <w:r w:rsidR="00C01EDD" w:rsidRPr="00FC116F">
                        <w:rPr>
                          <w:sz w:val="64"/>
                          <w:szCs w:val="64"/>
                          <w:lang w:val="fr-FR"/>
                        </w:rPr>
                        <w:t xml:space="preserve">ote </w:t>
                      </w:r>
                      <w:r w:rsidRPr="00FC116F">
                        <w:rPr>
                          <w:sz w:val="64"/>
                          <w:szCs w:val="64"/>
                          <w:lang w:val="fr-FR"/>
                        </w:rPr>
                        <w:t>d’</w:t>
                      </w:r>
                      <w:r>
                        <w:rPr>
                          <w:sz w:val="64"/>
                          <w:szCs w:val="64"/>
                          <w:lang w:val="fr-FR"/>
                        </w:rPr>
                        <w:t>orientation</w:t>
                      </w:r>
                      <w:r>
                        <w:rPr>
                          <w:sz w:val="64"/>
                          <w:szCs w:val="64"/>
                          <w:lang w:val="fr-FR"/>
                        </w:rPr>
                        <w:br/>
                        <w:t>sur le renforcement</w:t>
                      </w:r>
                      <w:r w:rsidR="00253892">
                        <w:rPr>
                          <w:sz w:val="64"/>
                          <w:szCs w:val="64"/>
                          <w:lang w:val="fr-FR"/>
                        </w:rPr>
                        <w:t xml:space="preserve"> </w:t>
                      </w:r>
                      <w:r w:rsidRPr="00FC116F">
                        <w:rPr>
                          <w:sz w:val="64"/>
                          <w:szCs w:val="64"/>
                          <w:lang w:val="fr-FR"/>
                        </w:rPr>
                        <w:t xml:space="preserve">des </w:t>
                      </w:r>
                      <w:r w:rsidR="00C01EDD" w:rsidRPr="00FC116F">
                        <w:rPr>
                          <w:sz w:val="64"/>
                          <w:szCs w:val="64"/>
                          <w:lang w:val="fr-FR"/>
                        </w:rPr>
                        <w:t>capacit</w:t>
                      </w:r>
                      <w:r w:rsidRPr="00FC116F">
                        <w:rPr>
                          <w:sz w:val="64"/>
                          <w:szCs w:val="64"/>
                          <w:lang w:val="fr-FR"/>
                        </w:rPr>
                        <w:t>és</w:t>
                      </w:r>
                      <w:r>
                        <w:rPr>
                          <w:sz w:val="64"/>
                          <w:szCs w:val="64"/>
                          <w:lang w:val="fr-FR"/>
                        </w:rPr>
                        <w:br/>
                        <w:t>aux fins de la</w:t>
                      </w:r>
                      <w:r w:rsidR="00C01EDD" w:rsidRPr="00FC116F">
                        <w:rPr>
                          <w:sz w:val="64"/>
                          <w:szCs w:val="64"/>
                          <w:lang w:val="fr-FR"/>
                        </w:rPr>
                        <w:t xml:space="preserve"> localisation</w:t>
                      </w:r>
                    </w:p>
                  </w:txbxContent>
                </v:textbox>
              </v:shape>
            </w:pict>
          </mc:Fallback>
        </mc:AlternateContent>
      </w:r>
      <w:r w:rsidR="00FC116F" w:rsidRPr="008E116A">
        <w:rPr>
          <w:rFonts w:ascii="Helvetica" w:hAnsi="Helvetica"/>
          <w:b/>
          <w:sz w:val="21"/>
          <w:szCs w:val="21"/>
          <w:lang w:val="fr-FR" w:eastAsia="en-GB"/>
        </w:rPr>
        <mc:AlternateContent>
          <mc:Choice Requires="wps">
            <w:drawing>
              <wp:anchor distT="0" distB="0" distL="114300" distR="114300" simplePos="0" relativeHeight="251661312" behindDoc="0" locked="0" layoutInCell="1" allowOverlap="1" wp14:anchorId="061BA992" wp14:editId="1BA0935F">
                <wp:simplePos x="0" y="0"/>
                <wp:positionH relativeFrom="column">
                  <wp:posOffset>-628650</wp:posOffset>
                </wp:positionH>
                <wp:positionV relativeFrom="paragraph">
                  <wp:posOffset>-419099</wp:posOffset>
                </wp:positionV>
                <wp:extent cx="5876925" cy="819150"/>
                <wp:effectExtent l="0" t="0" r="0" b="0"/>
                <wp:wrapNone/>
                <wp:docPr id="5" name="Text Box 5"/>
                <wp:cNvGraphicFramePr/>
                <a:graphic xmlns:a="http://schemas.openxmlformats.org/drawingml/2006/main">
                  <a:graphicData uri="http://schemas.microsoft.com/office/word/2010/wordprocessingShape">
                    <wps:wsp>
                      <wps:cNvSpPr txBox="1"/>
                      <wps:spPr>
                        <a:xfrm>
                          <a:off x="0" y="0"/>
                          <a:ext cx="5876925" cy="819150"/>
                        </a:xfrm>
                        <a:prstGeom prst="rect">
                          <a:avLst/>
                        </a:prstGeom>
                        <a:noFill/>
                        <a:ln w="6350">
                          <a:noFill/>
                        </a:ln>
                      </wps:spPr>
                      <wps:txbx>
                        <w:txbxContent>
                          <w:p w14:paraId="078B920D" w14:textId="330ED225" w:rsidR="00C01EDD" w:rsidRPr="00FC116F" w:rsidRDefault="00C01EDD" w:rsidP="00FC116F">
                            <w:pPr>
                              <w:spacing w:line="240" w:lineRule="auto"/>
                              <w:rPr>
                                <w:rFonts w:cstheme="minorHAnsi"/>
                                <w:b/>
                                <w:bCs/>
                                <w:sz w:val="44"/>
                                <w:szCs w:val="44"/>
                                <w:lang w:val="fr-FR"/>
                              </w:rPr>
                            </w:pPr>
                            <w:r w:rsidRPr="00FC116F">
                              <w:rPr>
                                <w:rFonts w:ascii="Montserrat" w:hAnsi="Montserrat"/>
                                <w:b/>
                                <w:bCs/>
                                <w:color w:val="011E41"/>
                                <w:sz w:val="44"/>
                                <w:szCs w:val="44"/>
                                <w:lang w:val="fr-FR"/>
                              </w:rPr>
                              <w:t xml:space="preserve">Grand </w:t>
                            </w:r>
                            <w:r w:rsidR="00FC116F" w:rsidRPr="00FC116F">
                              <w:rPr>
                                <w:rFonts w:ascii="Montserrat" w:hAnsi="Montserrat"/>
                                <w:b/>
                                <w:bCs/>
                                <w:color w:val="011E41"/>
                                <w:sz w:val="44"/>
                                <w:szCs w:val="44"/>
                                <w:lang w:val="fr-FR"/>
                              </w:rPr>
                              <w:t>compromis</w:t>
                            </w:r>
                            <w:r w:rsidR="00FC116F" w:rsidRPr="00FC116F">
                              <w:rPr>
                                <w:rFonts w:ascii="Montserrat" w:hAnsi="Montserrat"/>
                                <w:b/>
                                <w:bCs/>
                                <w:color w:val="011E41"/>
                                <w:sz w:val="44"/>
                                <w:szCs w:val="44"/>
                                <w:lang w:val="fr-FR"/>
                              </w:rPr>
                              <w:br/>
                              <w:t>Groupe de travail chargé de la localisation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BA992" id="Text Box 5" o:spid="_x0000_s1027" type="#_x0000_t202" style="position:absolute;margin-left:-49.5pt;margin-top:-33pt;width:462.7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" filled="f" stroked="f" strokeweight=".5pt">
                <v:textbox>
                  <w:txbxContent>
                    <w:p w14:paraId="078B920D" w14:textId="330ED225" w:rsidR="00C01EDD" w:rsidRPr="00FC116F" w:rsidRDefault="00C01EDD" w:rsidP="00FC116F">
                      <w:pPr>
                        <w:spacing w:line="240" w:lineRule="auto"/>
                        <w:rPr>
                          <w:rFonts w:cstheme="minorHAnsi"/>
                          <w:b/>
                          <w:bCs/>
                          <w:sz w:val="44"/>
                          <w:szCs w:val="44"/>
                          <w:lang w:val="fr-FR"/>
                        </w:rPr>
                      </w:pPr>
                      <w:r w:rsidRPr="00FC116F">
                        <w:rPr>
                          <w:rFonts w:ascii="Montserrat" w:hAnsi="Montserrat"/>
                          <w:b/>
                          <w:bCs/>
                          <w:color w:val="011E41"/>
                          <w:sz w:val="44"/>
                          <w:szCs w:val="44"/>
                          <w:lang w:val="fr-FR"/>
                        </w:rPr>
                        <w:t xml:space="preserve">Grand </w:t>
                      </w:r>
                      <w:r w:rsidR="00FC116F" w:rsidRPr="00FC116F">
                        <w:rPr>
                          <w:rFonts w:ascii="Montserrat" w:hAnsi="Montserrat"/>
                          <w:b/>
                          <w:bCs/>
                          <w:color w:val="011E41"/>
                          <w:sz w:val="44"/>
                          <w:szCs w:val="44"/>
                          <w:lang w:val="fr-FR"/>
                        </w:rPr>
                        <w:t>compromis</w:t>
                      </w:r>
                      <w:r w:rsidR="00FC116F" w:rsidRPr="00FC116F">
                        <w:rPr>
                          <w:rFonts w:ascii="Montserrat" w:hAnsi="Montserrat"/>
                          <w:b/>
                          <w:bCs/>
                          <w:color w:val="011E41"/>
                          <w:sz w:val="44"/>
                          <w:szCs w:val="44"/>
                          <w:lang w:val="fr-FR"/>
                        </w:rPr>
                        <w:br/>
                        <w:t>Groupe de travail chargé de la localisation</w:t>
                      </w:r>
                    </w:p>
                  </w:txbxContent>
                </v:textbox>
              </v:shape>
            </w:pict>
          </mc:Fallback>
        </mc:AlternateContent>
      </w:r>
      <w:r w:rsidR="00C01EDD" w:rsidRPr="008E116A">
        <w:rPr>
          <w:rFonts w:ascii="Helvetica" w:hAnsi="Helvetica"/>
          <w:b/>
          <w:sz w:val="21"/>
          <w:szCs w:val="21"/>
          <w:lang w:val="fr-FR" w:eastAsia="en-GB"/>
        </w:rPr>
        <mc:AlternateContent>
          <mc:Choice Requires="wps">
            <w:drawing>
              <wp:anchor distT="0" distB="0" distL="114300" distR="114300" simplePos="0" relativeHeight="251663360" behindDoc="0" locked="0" layoutInCell="1" allowOverlap="1" wp14:anchorId="5346D494" wp14:editId="2430645A">
                <wp:simplePos x="0" y="0"/>
                <wp:positionH relativeFrom="column">
                  <wp:posOffset>4275004</wp:posOffset>
                </wp:positionH>
                <wp:positionV relativeFrom="paragraph">
                  <wp:posOffset>7105609</wp:posOffset>
                </wp:positionV>
                <wp:extent cx="3509645" cy="377825"/>
                <wp:effectExtent l="0" t="0" r="0" b="0"/>
                <wp:wrapNone/>
                <wp:docPr id="7" name="Text Box 7"/>
                <wp:cNvGraphicFramePr/>
                <a:graphic xmlns:a="http://schemas.openxmlformats.org/drawingml/2006/main">
                  <a:graphicData uri="http://schemas.microsoft.com/office/word/2010/wordprocessingShape">
                    <wps:wsp>
                      <wps:cNvSpPr txBox="1"/>
                      <wps:spPr>
                        <a:xfrm>
                          <a:off x="0" y="0"/>
                          <a:ext cx="3509645" cy="377825"/>
                        </a:xfrm>
                        <a:prstGeom prst="rect">
                          <a:avLst/>
                        </a:prstGeom>
                        <a:noFill/>
                        <a:ln w="6350">
                          <a:noFill/>
                        </a:ln>
                      </wps:spPr>
                      <wps:txbx>
                        <w:txbxContent>
                          <w:p w14:paraId="30CA6367" w14:textId="2DA822CA" w:rsidR="00C01EDD" w:rsidRPr="00C01EDD" w:rsidRDefault="00FC116F" w:rsidP="00C01EDD">
                            <w:pPr>
                              <w:rPr>
                                <w:b/>
                                <w:bCs/>
                                <w:sz w:val="32"/>
                                <w:szCs w:val="32"/>
                                <w:lang w:val="fr-CH"/>
                              </w:rPr>
                            </w:pPr>
                            <w:r>
                              <w:rPr>
                                <w:b/>
                                <w:bCs/>
                                <w:sz w:val="32"/>
                                <w:szCs w:val="32"/>
                                <w:lang w:val="fr-CH"/>
                              </w:rPr>
                              <w:t>Publication :</w:t>
                            </w:r>
                            <w:r w:rsidR="00C01EDD" w:rsidRPr="00C01EDD">
                              <w:rPr>
                                <w:b/>
                                <w:bCs/>
                                <w:sz w:val="32"/>
                                <w:szCs w:val="32"/>
                                <w:lang w:val="fr-CH"/>
                              </w:rPr>
                              <w:t xml:space="preserve"> </w:t>
                            </w:r>
                            <w:r>
                              <w:rPr>
                                <w:b/>
                                <w:bCs/>
                                <w:sz w:val="32"/>
                                <w:szCs w:val="32"/>
                                <w:lang w:val="fr-CH"/>
                              </w:rPr>
                              <w:t>m</w:t>
                            </w:r>
                            <w:r w:rsidR="00C01EDD" w:rsidRPr="00C01EDD">
                              <w:rPr>
                                <w:b/>
                                <w:bCs/>
                                <w:sz w:val="32"/>
                                <w:szCs w:val="32"/>
                                <w:lang w:val="fr-CH"/>
                              </w:rPr>
                              <w:t>a</w:t>
                            </w:r>
                            <w:r>
                              <w:rPr>
                                <w:b/>
                                <w:bCs/>
                                <w:sz w:val="32"/>
                                <w:szCs w:val="32"/>
                                <w:lang w:val="fr-CH"/>
                              </w:rPr>
                              <w:t>i </w:t>
                            </w:r>
                            <w:r w:rsidR="00C01EDD" w:rsidRPr="00C01EDD">
                              <w:rPr>
                                <w:b/>
                                <w:bCs/>
                                <w:sz w:val="32"/>
                                <w:szCs w:val="32"/>
                                <w:lang w:val="fr-CH"/>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46D494" id="Text Box 7" o:spid="_x0000_s1028" type="#_x0000_t202" style="position:absolute;margin-left:336.6pt;margin-top:559.5pt;width:276.35pt;height:2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" filled="f" stroked="f" strokeweight=".5pt">
                <v:textbox>
                  <w:txbxContent>
                    <w:p w14:paraId="30CA6367" w14:textId="2DA822CA" w:rsidR="00C01EDD" w:rsidRPr="00C01EDD" w:rsidRDefault="00FC116F" w:rsidP="00C01EDD">
                      <w:pPr>
                        <w:rPr>
                          <w:b/>
                          <w:bCs/>
                          <w:sz w:val="32"/>
                          <w:szCs w:val="32"/>
                          <w:lang w:val="fr-CH"/>
                        </w:rPr>
                      </w:pPr>
                      <w:r>
                        <w:rPr>
                          <w:b/>
                          <w:bCs/>
                          <w:sz w:val="32"/>
                          <w:szCs w:val="32"/>
                          <w:lang w:val="fr-CH"/>
                        </w:rPr>
                        <w:t>Publication :</w:t>
                      </w:r>
                      <w:r w:rsidR="00C01EDD" w:rsidRPr="00C01EDD">
                        <w:rPr>
                          <w:b/>
                          <w:bCs/>
                          <w:sz w:val="32"/>
                          <w:szCs w:val="32"/>
                          <w:lang w:val="fr-CH"/>
                        </w:rPr>
                        <w:t xml:space="preserve"> </w:t>
                      </w:r>
                      <w:r>
                        <w:rPr>
                          <w:b/>
                          <w:bCs/>
                          <w:sz w:val="32"/>
                          <w:szCs w:val="32"/>
                          <w:lang w:val="fr-CH"/>
                        </w:rPr>
                        <w:t>m</w:t>
                      </w:r>
                      <w:r w:rsidR="00C01EDD" w:rsidRPr="00C01EDD">
                        <w:rPr>
                          <w:b/>
                          <w:bCs/>
                          <w:sz w:val="32"/>
                          <w:szCs w:val="32"/>
                          <w:lang w:val="fr-CH"/>
                        </w:rPr>
                        <w:t>a</w:t>
                      </w:r>
                      <w:r>
                        <w:rPr>
                          <w:b/>
                          <w:bCs/>
                          <w:sz w:val="32"/>
                          <w:szCs w:val="32"/>
                          <w:lang w:val="fr-CH"/>
                        </w:rPr>
                        <w:t>i </w:t>
                      </w:r>
                      <w:r w:rsidR="00C01EDD" w:rsidRPr="00C01EDD">
                        <w:rPr>
                          <w:b/>
                          <w:bCs/>
                          <w:sz w:val="32"/>
                          <w:szCs w:val="32"/>
                          <w:lang w:val="fr-CH"/>
                        </w:rPr>
                        <w:t>2020</w:t>
                      </w:r>
                    </w:p>
                  </w:txbxContent>
                </v:textbox>
              </v:shape>
            </w:pict>
          </mc:Fallback>
        </mc:AlternateContent>
      </w:r>
      <w:r w:rsidR="00C01EDD" w:rsidRPr="008E116A">
        <w:rPr>
          <w:rFonts w:ascii="Helvetica" w:hAnsi="Helvetica"/>
          <w:b/>
          <w:sz w:val="21"/>
          <w:szCs w:val="21"/>
          <w:lang w:val="fr-FR" w:eastAsia="en-GB"/>
        </w:rPr>
        <mc:AlternateContent>
          <mc:Choice Requires="wps">
            <w:drawing>
              <wp:anchor distT="0" distB="0" distL="114300" distR="114300" simplePos="0" relativeHeight="251660288" behindDoc="0" locked="0" layoutInCell="1" allowOverlap="1" wp14:anchorId="7C6D6A05" wp14:editId="316A87D0">
                <wp:simplePos x="0" y="0"/>
                <wp:positionH relativeFrom="column">
                  <wp:posOffset>-1810487</wp:posOffset>
                </wp:positionH>
                <wp:positionV relativeFrom="paragraph">
                  <wp:posOffset>7062511</wp:posOffset>
                </wp:positionV>
                <wp:extent cx="11128375" cy="3684905"/>
                <wp:effectExtent l="279400" t="2057400" r="250825" b="2055495"/>
                <wp:wrapNone/>
                <wp:docPr id="4" name="Rectangle 4"/>
                <wp:cNvGraphicFramePr/>
                <a:graphic xmlns:a="http://schemas.openxmlformats.org/drawingml/2006/main">
                  <a:graphicData uri="http://schemas.microsoft.com/office/word/2010/wordprocessingShape">
                    <wps:wsp>
                      <wps:cNvSpPr/>
                      <wps:spPr>
                        <a:xfrm rot="20205804">
                          <a:off x="0" y="0"/>
                          <a:ext cx="11128375" cy="3684905"/>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10921" id="Rectangle 4" o:spid="_x0000_s1026" style="position:absolute;margin-left:-142.55pt;margin-top:556.1pt;width:876.25pt;height:290.15pt;rotation:-1522834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" fillcolor="#ffc000 [3207]" strokecolor="#1f3763 [1604]" strokeweight="1pt"/>
            </w:pict>
          </mc:Fallback>
        </mc:AlternateContent>
      </w:r>
      <w:r w:rsidR="00C01EDD" w:rsidRPr="008E116A">
        <w:rPr>
          <w:rFonts w:ascii="Helvetica" w:hAnsi="Helvetica"/>
          <w:b/>
          <w:sz w:val="21"/>
          <w:szCs w:val="21"/>
          <w:lang w:val="fr-FR" w:eastAsia="en-GB"/>
        </w:rPr>
        <mc:AlternateContent>
          <mc:Choice Requires="wps">
            <w:drawing>
              <wp:anchor distT="0" distB="0" distL="114300" distR="114300" simplePos="0" relativeHeight="251659264" behindDoc="1" locked="0" layoutInCell="1" allowOverlap="1" wp14:anchorId="3BA674F0" wp14:editId="0667823B">
                <wp:simplePos x="0" y="0"/>
                <wp:positionH relativeFrom="column">
                  <wp:posOffset>-4014573</wp:posOffset>
                </wp:positionH>
                <wp:positionV relativeFrom="paragraph">
                  <wp:posOffset>-1865282</wp:posOffset>
                </wp:positionV>
                <wp:extent cx="11128375" cy="3684905"/>
                <wp:effectExtent l="279400" t="2057400" r="250825" b="2055495"/>
                <wp:wrapNone/>
                <wp:docPr id="3" name="Rectangle 3"/>
                <wp:cNvGraphicFramePr/>
                <a:graphic xmlns:a="http://schemas.openxmlformats.org/drawingml/2006/main">
                  <a:graphicData uri="http://schemas.microsoft.com/office/word/2010/wordprocessingShape">
                    <wps:wsp>
                      <wps:cNvSpPr/>
                      <wps:spPr>
                        <a:xfrm rot="20205804">
                          <a:off x="0" y="0"/>
                          <a:ext cx="11128375" cy="3684905"/>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6858B" id="Rectangle 3" o:spid="_x0000_s1026" style="position:absolute;margin-left:-316.1pt;margin-top:-146.85pt;width:876.25pt;height:290.15pt;rotation:-1522834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" fillcolor="#ffc000 [3207]" strokecolor="#1f3763 [1604]" strokeweight="1pt"/>
            </w:pict>
          </mc:Fallback>
        </mc:AlternateContent>
      </w:r>
      <w:r w:rsidR="00AC0A2E" w:rsidRPr="008E116A">
        <w:rPr>
          <w:rFonts w:ascii="Helvetica" w:hAnsi="Helvetica"/>
          <w:b/>
          <w:sz w:val="21"/>
          <w:szCs w:val="21"/>
          <w:lang w:val="fr-FR"/>
        </w:rPr>
        <w:br w:type="page"/>
      </w:r>
    </w:p>
    <w:p w14:paraId="31286A18" w14:textId="6353DB5D" w:rsidR="008B3C86" w:rsidRPr="008E116A" w:rsidRDefault="00FC116F" w:rsidP="00AC0A2E">
      <w:pPr>
        <w:spacing w:after="0"/>
        <w:rPr>
          <w:rFonts w:ascii="Montserrat" w:eastAsiaTheme="majorEastAsia" w:hAnsi="Montserrat" w:cstheme="majorBidi"/>
          <w:b/>
          <w:bCs/>
          <w:color w:val="011E41"/>
          <w:lang w:val="fr-FR"/>
        </w:rPr>
      </w:pPr>
      <w:r w:rsidRPr="008E116A">
        <w:rPr>
          <w:rFonts w:ascii="Montserrat" w:eastAsiaTheme="majorEastAsia" w:hAnsi="Montserrat" w:cstheme="majorBidi"/>
          <w:b/>
          <w:bCs/>
          <w:color w:val="011E41"/>
          <w:lang w:val="fr-FR"/>
        </w:rPr>
        <w:lastRenderedPageBreak/>
        <w:t>Note d’orientation sur le renforcement des capacités aux fins de la localisation</w:t>
      </w:r>
    </w:p>
    <w:p w14:paraId="782802A7" w14:textId="77777777" w:rsidR="00644A4B" w:rsidRPr="008E116A" w:rsidRDefault="00644A4B" w:rsidP="002A0D30">
      <w:pPr>
        <w:spacing w:after="0"/>
        <w:jc w:val="both"/>
        <w:rPr>
          <w:rFonts w:ascii="Helvetica" w:hAnsi="Helvetica"/>
          <w:b/>
          <w:sz w:val="21"/>
          <w:szCs w:val="21"/>
          <w:lang w:val="fr-FR"/>
        </w:rPr>
      </w:pPr>
    </w:p>
    <w:p w14:paraId="3417F5DA" w14:textId="162D4B95" w:rsidR="007923C5" w:rsidRPr="008E116A" w:rsidRDefault="004B6E67" w:rsidP="002A0D30">
      <w:pPr>
        <w:jc w:val="both"/>
        <w:rPr>
          <w:rFonts w:cstheme="minorHAnsi"/>
          <w:sz w:val="21"/>
          <w:szCs w:val="21"/>
          <w:lang w:val="fr-FR"/>
        </w:rPr>
      </w:pPr>
      <w:r w:rsidRPr="008E116A">
        <w:rPr>
          <w:rFonts w:cstheme="minorHAnsi"/>
          <w:sz w:val="21"/>
          <w:szCs w:val="21"/>
          <w:lang w:val="fr-FR"/>
        </w:rPr>
        <w:t>La présente note d’orientation constitue un recueil de recommandations sur le renforcement des capacités qui trouvent leur source dans trois ateliers régionaux menés en 2019 par le Groupe de travail chargé de la localisation établi dans le cadre du Grand compromis. Ces ateliers</w:t>
      </w:r>
      <w:r w:rsidR="00E67FBB" w:rsidRPr="008E116A">
        <w:rPr>
          <w:rFonts w:cstheme="minorHAnsi"/>
          <w:sz w:val="21"/>
          <w:szCs w:val="21"/>
          <w:lang w:val="fr-FR"/>
        </w:rPr>
        <w:t xml:space="preserve"> ont</w:t>
      </w:r>
      <w:r w:rsidRPr="008E116A">
        <w:rPr>
          <w:rFonts w:cstheme="minorHAnsi"/>
          <w:sz w:val="21"/>
          <w:szCs w:val="21"/>
          <w:lang w:val="fr-FR"/>
        </w:rPr>
        <w:t xml:space="preserve"> </w:t>
      </w:r>
      <w:r w:rsidR="00E67FBB" w:rsidRPr="008E116A">
        <w:rPr>
          <w:rFonts w:cstheme="minorHAnsi"/>
          <w:sz w:val="21"/>
          <w:szCs w:val="21"/>
          <w:lang w:val="fr-FR"/>
        </w:rPr>
        <w:t xml:space="preserve">notamment </w:t>
      </w:r>
      <w:r w:rsidRPr="008E116A">
        <w:rPr>
          <w:rFonts w:cstheme="minorHAnsi"/>
          <w:sz w:val="21"/>
          <w:szCs w:val="21"/>
          <w:lang w:val="fr-FR"/>
        </w:rPr>
        <w:t>rassembl</w:t>
      </w:r>
      <w:r w:rsidR="00E67FBB" w:rsidRPr="008E116A">
        <w:rPr>
          <w:rFonts w:cstheme="minorHAnsi"/>
          <w:sz w:val="21"/>
          <w:szCs w:val="21"/>
          <w:lang w:val="fr-FR"/>
        </w:rPr>
        <w:t>é</w:t>
      </w:r>
      <w:r w:rsidRPr="008E116A">
        <w:rPr>
          <w:rFonts w:cstheme="minorHAnsi"/>
          <w:sz w:val="21"/>
          <w:szCs w:val="21"/>
          <w:lang w:val="fr-FR"/>
        </w:rPr>
        <w:t xml:space="preserve"> des représentants d’ONG locales</w:t>
      </w:r>
      <w:r w:rsidR="007F491F" w:rsidRPr="008E116A">
        <w:rPr>
          <w:rFonts w:cstheme="minorHAnsi"/>
          <w:sz w:val="21"/>
          <w:szCs w:val="21"/>
          <w:lang w:val="fr-FR"/>
        </w:rPr>
        <w:t>,</w:t>
      </w:r>
      <w:r w:rsidRPr="008E116A">
        <w:rPr>
          <w:rFonts w:cstheme="minorHAnsi"/>
          <w:sz w:val="21"/>
          <w:szCs w:val="21"/>
          <w:lang w:val="fr-FR"/>
        </w:rPr>
        <w:t xml:space="preserve"> </w:t>
      </w:r>
      <w:r w:rsidR="007F491F" w:rsidRPr="008E116A">
        <w:rPr>
          <w:rFonts w:cstheme="minorHAnsi"/>
          <w:sz w:val="21"/>
          <w:szCs w:val="21"/>
          <w:lang w:val="fr-FR"/>
        </w:rPr>
        <w:t>nationales</w:t>
      </w:r>
      <w:r w:rsidRPr="008E116A">
        <w:rPr>
          <w:rFonts w:cstheme="minorHAnsi"/>
          <w:sz w:val="21"/>
          <w:szCs w:val="21"/>
          <w:lang w:val="fr-FR"/>
        </w:rPr>
        <w:t xml:space="preserve"> </w:t>
      </w:r>
      <w:r w:rsidR="007F491F" w:rsidRPr="008E116A">
        <w:rPr>
          <w:rFonts w:cstheme="minorHAnsi"/>
          <w:sz w:val="21"/>
          <w:szCs w:val="21"/>
          <w:lang w:val="fr-FR"/>
        </w:rPr>
        <w:t xml:space="preserve">et </w:t>
      </w:r>
      <w:r w:rsidRPr="008E116A">
        <w:rPr>
          <w:rFonts w:cstheme="minorHAnsi"/>
          <w:sz w:val="21"/>
          <w:szCs w:val="21"/>
          <w:lang w:val="fr-FR"/>
        </w:rPr>
        <w:t>internationales, de gouvernements et de donateurs régionaux, ainsi que d’institutions des Nations Unies. Par ailleurs, la présente note reprend des conclusions clés d’un projet de recherche réalisé entre</w:t>
      </w:r>
      <w:r w:rsidR="007F491F" w:rsidRPr="008E116A">
        <w:rPr>
          <w:rFonts w:cstheme="minorHAnsi"/>
          <w:sz w:val="21"/>
          <w:szCs w:val="21"/>
          <w:lang w:val="fr-FR"/>
        </w:rPr>
        <w:t> 2017 et </w:t>
      </w:r>
      <w:r w:rsidRPr="008E116A">
        <w:rPr>
          <w:rFonts w:cstheme="minorHAnsi"/>
          <w:sz w:val="21"/>
          <w:szCs w:val="21"/>
          <w:lang w:val="fr-FR"/>
        </w:rPr>
        <w:t>2019 par le Humanitarian Policy Group de l'Overseas Development Institute (ODI). Ce projet</w:t>
      </w:r>
      <w:r w:rsidR="00B97166" w:rsidRPr="008E116A">
        <w:rPr>
          <w:rFonts w:cstheme="minorHAnsi"/>
          <w:sz w:val="21"/>
          <w:szCs w:val="21"/>
          <w:lang w:val="fr-FR"/>
        </w:rPr>
        <w:t xml:space="preserve"> portait sur la question de la capacité et de la complémentarité des acteurs locaux</w:t>
      </w:r>
      <w:r w:rsidR="00B97166" w:rsidRPr="008E116A">
        <w:rPr>
          <w:rStyle w:val="FootnoteReference"/>
          <w:rFonts w:cstheme="minorHAnsi"/>
          <w:sz w:val="21"/>
          <w:szCs w:val="21"/>
          <w:lang w:val="fr-FR"/>
        </w:rPr>
        <w:footnoteReference w:id="1"/>
      </w:r>
      <w:r w:rsidR="00B97166" w:rsidRPr="008E116A">
        <w:rPr>
          <w:rFonts w:cstheme="minorHAnsi"/>
          <w:sz w:val="21"/>
          <w:szCs w:val="21"/>
          <w:lang w:val="fr-FR"/>
        </w:rPr>
        <w:t xml:space="preserve"> et internationaux, et notamment sur les moyens de mieux </w:t>
      </w:r>
      <w:r w:rsidR="00BA68D9" w:rsidRPr="008E116A">
        <w:rPr>
          <w:rFonts w:cstheme="minorHAnsi"/>
          <w:sz w:val="21"/>
          <w:szCs w:val="21"/>
          <w:lang w:val="fr-FR"/>
        </w:rPr>
        <w:t xml:space="preserve">comprendre </w:t>
      </w:r>
      <w:r w:rsidR="00394D69" w:rsidRPr="008E116A">
        <w:rPr>
          <w:rFonts w:cstheme="minorHAnsi"/>
          <w:sz w:val="21"/>
          <w:szCs w:val="21"/>
          <w:lang w:val="fr-FR"/>
        </w:rPr>
        <w:t>cette</w:t>
      </w:r>
      <w:r w:rsidR="00B97166" w:rsidRPr="008E116A">
        <w:rPr>
          <w:rFonts w:cstheme="minorHAnsi"/>
          <w:sz w:val="21"/>
          <w:szCs w:val="21"/>
          <w:lang w:val="fr-FR"/>
        </w:rPr>
        <w:t xml:space="preserve"> capacité </w:t>
      </w:r>
      <w:r w:rsidR="00E67FBB" w:rsidRPr="008E116A">
        <w:rPr>
          <w:rFonts w:cstheme="minorHAnsi"/>
          <w:sz w:val="21"/>
          <w:szCs w:val="21"/>
          <w:lang w:val="fr-FR"/>
        </w:rPr>
        <w:t>et</w:t>
      </w:r>
      <w:r w:rsidR="00B97166" w:rsidRPr="008E116A">
        <w:rPr>
          <w:rFonts w:cstheme="minorHAnsi"/>
          <w:sz w:val="21"/>
          <w:szCs w:val="21"/>
          <w:lang w:val="fr-FR"/>
        </w:rPr>
        <w:t xml:space="preserve"> </w:t>
      </w:r>
      <w:r w:rsidR="00394D69" w:rsidRPr="008E116A">
        <w:rPr>
          <w:rFonts w:cstheme="minorHAnsi"/>
          <w:sz w:val="21"/>
          <w:szCs w:val="21"/>
          <w:lang w:val="fr-FR"/>
        </w:rPr>
        <w:t>d’en tirer parti</w:t>
      </w:r>
      <w:r w:rsidR="00B97166" w:rsidRPr="008E116A">
        <w:rPr>
          <w:rFonts w:cstheme="minorHAnsi"/>
          <w:sz w:val="21"/>
          <w:szCs w:val="21"/>
          <w:lang w:val="fr-FR"/>
        </w:rPr>
        <w:t xml:space="preserve"> </w:t>
      </w:r>
      <w:r w:rsidR="00E67FBB" w:rsidRPr="008E116A">
        <w:rPr>
          <w:rFonts w:cstheme="minorHAnsi"/>
          <w:sz w:val="21"/>
          <w:szCs w:val="21"/>
          <w:lang w:val="fr-FR"/>
        </w:rPr>
        <w:t xml:space="preserve">pour soutenir </w:t>
      </w:r>
      <w:r w:rsidR="003B453E" w:rsidRPr="008E116A">
        <w:rPr>
          <w:rFonts w:cstheme="minorHAnsi"/>
          <w:sz w:val="21"/>
          <w:szCs w:val="21"/>
          <w:lang w:val="fr-FR"/>
        </w:rPr>
        <w:t>des interventions</w:t>
      </w:r>
      <w:r w:rsidR="00E67FBB" w:rsidRPr="008E116A">
        <w:rPr>
          <w:rFonts w:cstheme="minorHAnsi"/>
          <w:sz w:val="21"/>
          <w:szCs w:val="21"/>
          <w:lang w:val="fr-FR"/>
        </w:rPr>
        <w:t xml:space="preserve"> humanitaire</w:t>
      </w:r>
      <w:r w:rsidR="003B453E" w:rsidRPr="008E116A">
        <w:rPr>
          <w:rFonts w:cstheme="minorHAnsi"/>
          <w:sz w:val="21"/>
          <w:szCs w:val="21"/>
          <w:lang w:val="fr-FR"/>
        </w:rPr>
        <w:t>s</w:t>
      </w:r>
      <w:r w:rsidR="00E67FBB" w:rsidRPr="008E116A">
        <w:rPr>
          <w:rFonts w:cstheme="minorHAnsi"/>
          <w:sz w:val="21"/>
          <w:szCs w:val="21"/>
          <w:lang w:val="fr-FR"/>
        </w:rPr>
        <w:t xml:space="preserve"> plus collaborative</w:t>
      </w:r>
      <w:r w:rsidR="003B453E" w:rsidRPr="008E116A">
        <w:rPr>
          <w:rFonts w:cstheme="minorHAnsi"/>
          <w:sz w:val="21"/>
          <w:szCs w:val="21"/>
          <w:lang w:val="fr-FR"/>
        </w:rPr>
        <w:t>s</w:t>
      </w:r>
      <w:r w:rsidR="00B97166" w:rsidRPr="008E116A">
        <w:rPr>
          <w:rStyle w:val="FootnoteReference"/>
          <w:rFonts w:cstheme="minorHAnsi"/>
          <w:sz w:val="21"/>
          <w:szCs w:val="21"/>
          <w:lang w:val="fr-FR"/>
        </w:rPr>
        <w:footnoteReference w:id="2"/>
      </w:r>
      <w:r w:rsidR="00B97166" w:rsidRPr="008E116A">
        <w:rPr>
          <w:rFonts w:cstheme="minorHAnsi"/>
          <w:sz w:val="21"/>
          <w:szCs w:val="21"/>
          <w:lang w:val="fr-FR"/>
        </w:rPr>
        <w:t>.</w:t>
      </w:r>
    </w:p>
    <w:p w14:paraId="21388452" w14:textId="60149357" w:rsidR="002A0D30" w:rsidRPr="008E116A" w:rsidRDefault="002300EB" w:rsidP="002A0D30">
      <w:pPr>
        <w:jc w:val="both"/>
        <w:rPr>
          <w:rFonts w:cstheme="minorHAnsi"/>
          <w:sz w:val="21"/>
          <w:szCs w:val="21"/>
          <w:lang w:val="fr-FR"/>
        </w:rPr>
      </w:pPr>
      <w:r w:rsidRPr="008E116A">
        <w:rPr>
          <w:rFonts w:cstheme="minorHAnsi"/>
          <w:sz w:val="21"/>
          <w:szCs w:val="21"/>
          <w:lang w:val="fr-FR"/>
        </w:rPr>
        <w:t>Cette</w:t>
      </w:r>
      <w:r w:rsidR="00C34889" w:rsidRPr="008E116A">
        <w:rPr>
          <w:rFonts w:cstheme="minorHAnsi"/>
          <w:sz w:val="21"/>
          <w:szCs w:val="21"/>
          <w:lang w:val="fr-FR"/>
        </w:rPr>
        <w:t xml:space="preserve"> note a été rédigée par le Groupe de travail chargé de la localisation établi dans le cadre du Grand compromis, </w:t>
      </w:r>
      <w:r w:rsidRPr="008E116A">
        <w:rPr>
          <w:rFonts w:cstheme="minorHAnsi"/>
          <w:sz w:val="21"/>
          <w:szCs w:val="21"/>
          <w:lang w:val="fr-FR"/>
        </w:rPr>
        <w:t xml:space="preserve">mais </w:t>
      </w:r>
      <w:r w:rsidR="00C34889" w:rsidRPr="008E116A">
        <w:rPr>
          <w:rFonts w:cstheme="minorHAnsi"/>
          <w:sz w:val="21"/>
          <w:szCs w:val="21"/>
          <w:lang w:val="fr-FR"/>
        </w:rPr>
        <w:t xml:space="preserve">ne reflète pas </w:t>
      </w:r>
      <w:r w:rsidRPr="008E116A">
        <w:rPr>
          <w:rFonts w:cstheme="minorHAnsi"/>
          <w:sz w:val="21"/>
          <w:szCs w:val="21"/>
          <w:lang w:val="fr-FR"/>
        </w:rPr>
        <w:t>nécessairement</w:t>
      </w:r>
      <w:r w:rsidR="00C34889" w:rsidRPr="008E116A">
        <w:rPr>
          <w:rFonts w:cstheme="minorHAnsi"/>
          <w:sz w:val="21"/>
          <w:szCs w:val="21"/>
          <w:lang w:val="fr-FR"/>
        </w:rPr>
        <w:t xml:space="preserve"> la position officielle des membres du Groupe de travail et des coorganisateurs.</w:t>
      </w:r>
    </w:p>
    <w:p w14:paraId="55CE4D9B" w14:textId="05978F93" w:rsidR="00FD3A96" w:rsidRPr="008E116A" w:rsidRDefault="00BA68D9" w:rsidP="002A0D30">
      <w:pPr>
        <w:jc w:val="both"/>
        <w:rPr>
          <w:rFonts w:ascii="Montserrat" w:eastAsiaTheme="majorEastAsia" w:hAnsi="Montserrat" w:cstheme="majorBidi"/>
          <w:b/>
          <w:bCs/>
          <w:color w:val="011E41"/>
          <w:lang w:val="fr-FR"/>
        </w:rPr>
      </w:pPr>
      <w:r w:rsidRPr="008E116A">
        <w:rPr>
          <w:rFonts w:ascii="Montserrat" w:eastAsiaTheme="majorEastAsia" w:hAnsi="Montserrat" w:cstheme="majorBidi"/>
          <w:b/>
          <w:bCs/>
          <w:color w:val="011E41"/>
          <w:lang w:val="fr-FR"/>
        </w:rPr>
        <w:t>Comprendre la capacité</w:t>
      </w:r>
    </w:p>
    <w:p w14:paraId="4CF4A7D2" w14:textId="7A2E896D" w:rsidR="00895CA6" w:rsidRPr="008E116A" w:rsidRDefault="009609FC" w:rsidP="002A0D30">
      <w:pPr>
        <w:pStyle w:val="ListParagraph"/>
        <w:numPr>
          <w:ilvl w:val="0"/>
          <w:numId w:val="4"/>
        </w:numPr>
        <w:jc w:val="both"/>
        <w:rPr>
          <w:rFonts w:cstheme="minorHAnsi"/>
          <w:sz w:val="21"/>
          <w:szCs w:val="21"/>
          <w:lang w:val="fr-FR"/>
        </w:rPr>
      </w:pPr>
      <w:r w:rsidRPr="008E116A">
        <w:rPr>
          <w:rFonts w:cstheme="minorHAnsi"/>
          <w:sz w:val="21"/>
          <w:szCs w:val="21"/>
          <w:lang w:val="fr-FR"/>
        </w:rPr>
        <w:t xml:space="preserve">La capacité </w:t>
      </w:r>
      <w:r w:rsidR="00EC51DC" w:rsidRPr="008E116A">
        <w:rPr>
          <w:rFonts w:cstheme="minorHAnsi"/>
          <w:sz w:val="21"/>
          <w:szCs w:val="21"/>
          <w:lang w:val="fr-FR"/>
        </w:rPr>
        <w:t>requise</w:t>
      </w:r>
      <w:r w:rsidRPr="008E116A">
        <w:rPr>
          <w:rFonts w:cstheme="minorHAnsi"/>
          <w:sz w:val="21"/>
          <w:szCs w:val="21"/>
          <w:lang w:val="fr-FR"/>
        </w:rPr>
        <w:t xml:space="preserve"> </w:t>
      </w:r>
      <w:r w:rsidR="00EC51DC" w:rsidRPr="008E116A">
        <w:rPr>
          <w:rFonts w:cstheme="minorHAnsi"/>
          <w:sz w:val="21"/>
          <w:szCs w:val="21"/>
          <w:lang w:val="fr-FR"/>
        </w:rPr>
        <w:t>pour alléger les</w:t>
      </w:r>
      <w:r w:rsidRPr="008E116A">
        <w:rPr>
          <w:rFonts w:cstheme="minorHAnsi"/>
          <w:sz w:val="21"/>
          <w:szCs w:val="21"/>
          <w:lang w:val="fr-FR"/>
        </w:rPr>
        <w:t xml:space="preserve"> souffrances humaines englobe le respect des principes humanitaires, l’aptitude à préparer, à prévoir et à fournir des services humanitaires opportuns, efficaces par rapport aux coûts et d’une qualité appropriée, le renforcement de la résilience de la population touchée, et une gestion transparente et responsable des ressources.</w:t>
      </w:r>
      <w:r w:rsidR="00E67FBB" w:rsidRPr="008E116A">
        <w:rPr>
          <w:rFonts w:cstheme="minorHAnsi"/>
          <w:sz w:val="21"/>
          <w:szCs w:val="21"/>
          <w:lang w:val="fr-FR"/>
        </w:rPr>
        <w:t xml:space="preserve"> Il est toutefois tout aussi important de connaître le contexte, de pouvoir comprendre les personnes touchées et autres parties prenantes et s’identifier à elles, et de pouvoir faire le lien entre, notamment, les activités humanitaires et de développement. Enfin, la capacité doit être comprise dans le cadre de contextes et de crises particuliers.</w:t>
      </w:r>
    </w:p>
    <w:p w14:paraId="6CC8B146" w14:textId="77777777" w:rsidR="007630E9" w:rsidRPr="008E116A" w:rsidRDefault="007630E9" w:rsidP="002A0D30">
      <w:pPr>
        <w:pStyle w:val="ListParagraph"/>
        <w:ind w:left="360"/>
        <w:jc w:val="both"/>
        <w:rPr>
          <w:rFonts w:cstheme="minorHAnsi"/>
          <w:sz w:val="21"/>
          <w:szCs w:val="21"/>
          <w:lang w:val="fr-FR"/>
        </w:rPr>
      </w:pPr>
    </w:p>
    <w:p w14:paraId="1B75DD55" w14:textId="6F685809" w:rsidR="00D81B15" w:rsidRPr="008E116A" w:rsidRDefault="00E67FBB" w:rsidP="002A0D30">
      <w:pPr>
        <w:pStyle w:val="ListParagraph"/>
        <w:numPr>
          <w:ilvl w:val="0"/>
          <w:numId w:val="4"/>
        </w:numPr>
        <w:jc w:val="both"/>
        <w:rPr>
          <w:rFonts w:cstheme="minorHAnsi"/>
          <w:sz w:val="21"/>
          <w:szCs w:val="21"/>
          <w:lang w:val="fr-FR"/>
        </w:rPr>
      </w:pPr>
      <w:r w:rsidRPr="008E116A">
        <w:rPr>
          <w:rFonts w:cstheme="minorHAnsi"/>
          <w:sz w:val="21"/>
          <w:szCs w:val="21"/>
          <w:lang w:val="fr-FR"/>
        </w:rPr>
        <w:t xml:space="preserve">Toutes les parties prenantes devraient chercher </w:t>
      </w:r>
      <w:r w:rsidR="003B453E" w:rsidRPr="008E116A">
        <w:rPr>
          <w:rFonts w:cstheme="minorHAnsi"/>
          <w:sz w:val="21"/>
          <w:szCs w:val="21"/>
          <w:lang w:val="fr-FR"/>
        </w:rPr>
        <w:t xml:space="preserve">à aboutir à une compréhension commune de la définition de la capacité dans un contexte donné, en menant un processus inclusif associant </w:t>
      </w:r>
      <w:r w:rsidR="007F491F" w:rsidRPr="008E116A">
        <w:rPr>
          <w:rFonts w:cstheme="minorHAnsi"/>
          <w:sz w:val="21"/>
          <w:szCs w:val="21"/>
          <w:lang w:val="fr-FR"/>
        </w:rPr>
        <w:t>véritablement</w:t>
      </w:r>
      <w:r w:rsidR="003B453E" w:rsidRPr="008E116A">
        <w:rPr>
          <w:rFonts w:cstheme="minorHAnsi"/>
          <w:sz w:val="21"/>
          <w:szCs w:val="21"/>
          <w:lang w:val="fr-FR"/>
        </w:rPr>
        <w:t xml:space="preserve"> les acteurs locaux.</w:t>
      </w:r>
    </w:p>
    <w:p w14:paraId="354074F7" w14:textId="77777777" w:rsidR="00D81B15" w:rsidRPr="008E116A" w:rsidRDefault="00D81B15" w:rsidP="002A0D30">
      <w:pPr>
        <w:pStyle w:val="ListParagraph"/>
        <w:ind w:left="360"/>
        <w:jc w:val="both"/>
        <w:rPr>
          <w:rFonts w:cstheme="minorHAnsi"/>
          <w:sz w:val="21"/>
          <w:szCs w:val="21"/>
          <w:lang w:val="fr-FR"/>
        </w:rPr>
      </w:pPr>
    </w:p>
    <w:p w14:paraId="171C0520" w14:textId="018A8C76" w:rsidR="007B6469" w:rsidRPr="008E116A" w:rsidRDefault="003B453E" w:rsidP="002A0D30">
      <w:pPr>
        <w:pStyle w:val="ListParagraph"/>
        <w:numPr>
          <w:ilvl w:val="0"/>
          <w:numId w:val="4"/>
        </w:numPr>
        <w:jc w:val="both"/>
        <w:rPr>
          <w:rFonts w:cstheme="minorHAnsi"/>
          <w:sz w:val="21"/>
          <w:szCs w:val="21"/>
          <w:lang w:val="fr-FR"/>
        </w:rPr>
      </w:pPr>
      <w:r w:rsidRPr="008E116A">
        <w:rPr>
          <w:rFonts w:cstheme="minorHAnsi"/>
          <w:sz w:val="21"/>
          <w:szCs w:val="21"/>
          <w:lang w:val="fr-FR"/>
        </w:rPr>
        <w:t xml:space="preserve">La terminologie a son importance. La capacité est souvent </w:t>
      </w:r>
      <w:r w:rsidR="00A61435" w:rsidRPr="008E116A">
        <w:rPr>
          <w:rFonts w:cstheme="minorHAnsi"/>
          <w:sz w:val="21"/>
          <w:szCs w:val="21"/>
          <w:lang w:val="fr-FR"/>
        </w:rPr>
        <w:t>décrite</w:t>
      </w:r>
      <w:r w:rsidRPr="008E116A">
        <w:rPr>
          <w:rFonts w:cstheme="minorHAnsi"/>
          <w:sz w:val="21"/>
          <w:szCs w:val="21"/>
          <w:lang w:val="fr-FR"/>
        </w:rPr>
        <w:t xml:space="preserve"> comme « insuffisante » et nécessitant d’être « développée »</w:t>
      </w:r>
      <w:r w:rsidR="00550645" w:rsidRPr="008E116A">
        <w:rPr>
          <w:rFonts w:cstheme="minorHAnsi"/>
          <w:sz w:val="21"/>
          <w:szCs w:val="21"/>
          <w:lang w:val="fr-FR"/>
        </w:rPr>
        <w:t>, alors que d</w:t>
      </w:r>
      <w:r w:rsidRPr="008E116A">
        <w:rPr>
          <w:rFonts w:cstheme="minorHAnsi"/>
          <w:sz w:val="21"/>
          <w:szCs w:val="21"/>
          <w:lang w:val="fr-FR"/>
        </w:rPr>
        <w:t xml:space="preserve">es termes comme </w:t>
      </w:r>
      <w:r w:rsidR="00550645" w:rsidRPr="008E116A">
        <w:rPr>
          <w:rFonts w:cstheme="minorHAnsi"/>
          <w:sz w:val="21"/>
          <w:szCs w:val="21"/>
          <w:lang w:val="fr-FR"/>
        </w:rPr>
        <w:t xml:space="preserve">le « renforcement des capacités » ou le « partage des capacités » reconnaissent l’existence de compétences et d’actifs pouvant </w:t>
      </w:r>
      <w:r w:rsidR="00A61435" w:rsidRPr="008E116A">
        <w:rPr>
          <w:rFonts w:cstheme="minorHAnsi"/>
          <w:sz w:val="21"/>
          <w:szCs w:val="21"/>
          <w:lang w:val="fr-FR"/>
        </w:rPr>
        <w:t>bénéficier d’un appui</w:t>
      </w:r>
      <w:r w:rsidR="00550645" w:rsidRPr="008E116A">
        <w:rPr>
          <w:rFonts w:cstheme="minorHAnsi"/>
          <w:sz w:val="21"/>
          <w:szCs w:val="21"/>
          <w:lang w:val="fr-FR"/>
        </w:rPr>
        <w:t xml:space="preserve"> et </w:t>
      </w:r>
      <w:r w:rsidR="00A61435" w:rsidRPr="008E116A">
        <w:rPr>
          <w:rFonts w:cstheme="minorHAnsi"/>
          <w:sz w:val="21"/>
          <w:szCs w:val="21"/>
          <w:lang w:val="fr-FR"/>
        </w:rPr>
        <w:t xml:space="preserve">être </w:t>
      </w:r>
      <w:r w:rsidR="00550645" w:rsidRPr="008E116A">
        <w:rPr>
          <w:rFonts w:cstheme="minorHAnsi"/>
          <w:sz w:val="21"/>
          <w:szCs w:val="21"/>
          <w:lang w:val="fr-FR"/>
        </w:rPr>
        <w:t>mis en commun.</w:t>
      </w:r>
    </w:p>
    <w:p w14:paraId="0B8433B4" w14:textId="77777777" w:rsidR="00D81B15" w:rsidRPr="008E116A" w:rsidRDefault="00D81B15" w:rsidP="002A0D30">
      <w:pPr>
        <w:pStyle w:val="ListParagraph"/>
        <w:spacing w:after="0" w:line="240" w:lineRule="auto"/>
        <w:jc w:val="both"/>
        <w:rPr>
          <w:rFonts w:cstheme="minorHAnsi"/>
          <w:sz w:val="21"/>
          <w:szCs w:val="21"/>
          <w:lang w:val="fr-FR"/>
        </w:rPr>
      </w:pPr>
    </w:p>
    <w:p w14:paraId="01488E42" w14:textId="2785B317" w:rsidR="008B3C86" w:rsidRPr="008E116A" w:rsidRDefault="00BA68D9" w:rsidP="002A0D30">
      <w:pPr>
        <w:jc w:val="both"/>
        <w:rPr>
          <w:rFonts w:ascii="Montserrat" w:eastAsiaTheme="majorEastAsia" w:hAnsi="Montserrat" w:cstheme="majorBidi"/>
          <w:b/>
          <w:bCs/>
          <w:color w:val="011E41"/>
          <w:lang w:val="fr-FR"/>
        </w:rPr>
      </w:pPr>
      <w:r w:rsidRPr="008E116A">
        <w:rPr>
          <w:rFonts w:ascii="Montserrat" w:eastAsiaTheme="majorEastAsia" w:hAnsi="Montserrat" w:cstheme="majorBidi"/>
          <w:b/>
          <w:bCs/>
          <w:color w:val="011E41"/>
          <w:lang w:val="fr-FR"/>
        </w:rPr>
        <w:t>Évaluer</w:t>
      </w:r>
      <w:r w:rsidR="008B3C86" w:rsidRPr="008E116A">
        <w:rPr>
          <w:rFonts w:ascii="Montserrat" w:eastAsiaTheme="majorEastAsia" w:hAnsi="Montserrat" w:cstheme="majorBidi"/>
          <w:b/>
          <w:bCs/>
          <w:color w:val="011E41"/>
          <w:lang w:val="fr-FR"/>
        </w:rPr>
        <w:t xml:space="preserve"> </w:t>
      </w:r>
      <w:r w:rsidRPr="008E116A">
        <w:rPr>
          <w:rFonts w:ascii="Montserrat" w:eastAsiaTheme="majorEastAsia" w:hAnsi="Montserrat" w:cstheme="majorBidi"/>
          <w:b/>
          <w:bCs/>
          <w:color w:val="011E41"/>
          <w:lang w:val="fr-FR"/>
        </w:rPr>
        <w:t>la capacité</w:t>
      </w:r>
    </w:p>
    <w:p w14:paraId="735ACB79" w14:textId="608B4C12" w:rsidR="007B6469" w:rsidRPr="008E116A" w:rsidRDefault="00550645" w:rsidP="002A0D30">
      <w:pPr>
        <w:pStyle w:val="ListParagraph"/>
        <w:numPr>
          <w:ilvl w:val="0"/>
          <w:numId w:val="5"/>
        </w:numPr>
        <w:jc w:val="both"/>
        <w:rPr>
          <w:rFonts w:cstheme="minorHAnsi"/>
          <w:sz w:val="21"/>
          <w:szCs w:val="21"/>
          <w:lang w:val="fr-FR"/>
        </w:rPr>
      </w:pPr>
      <w:r w:rsidRPr="008E116A">
        <w:rPr>
          <w:rFonts w:cstheme="minorHAnsi"/>
          <w:sz w:val="21"/>
          <w:szCs w:val="21"/>
          <w:lang w:val="fr-FR"/>
        </w:rPr>
        <w:t>À l’heure actuelle, le processus par lequel différentes organisations mesurent les contributions et l’utilité respectives d’autres organisations se limite en grande partie à une évaluation</w:t>
      </w:r>
      <w:r w:rsidR="00A61435" w:rsidRPr="008E116A">
        <w:rPr>
          <w:rFonts w:cstheme="minorHAnsi"/>
          <w:sz w:val="21"/>
          <w:szCs w:val="21"/>
          <w:lang w:val="fr-FR"/>
        </w:rPr>
        <w:t>,</w:t>
      </w:r>
      <w:r w:rsidRPr="008E116A">
        <w:rPr>
          <w:rFonts w:cstheme="minorHAnsi"/>
          <w:sz w:val="21"/>
          <w:szCs w:val="21"/>
          <w:lang w:val="fr-FR"/>
        </w:rPr>
        <w:t xml:space="preserve"> </w:t>
      </w:r>
      <w:r w:rsidR="00A61435" w:rsidRPr="008E116A">
        <w:rPr>
          <w:rFonts w:cstheme="minorHAnsi"/>
          <w:sz w:val="21"/>
          <w:szCs w:val="21"/>
          <w:lang w:val="fr-FR"/>
        </w:rPr>
        <w:t xml:space="preserve">par des organisations internationales, </w:t>
      </w:r>
      <w:r w:rsidRPr="008E116A">
        <w:rPr>
          <w:rFonts w:cstheme="minorHAnsi"/>
          <w:sz w:val="21"/>
          <w:szCs w:val="21"/>
          <w:lang w:val="fr-FR"/>
        </w:rPr>
        <w:t xml:space="preserve">de la capacité d’organisations locales aux fins </w:t>
      </w:r>
      <w:r w:rsidR="00B70143" w:rsidRPr="008E116A">
        <w:rPr>
          <w:rFonts w:cstheme="minorHAnsi"/>
          <w:sz w:val="21"/>
          <w:szCs w:val="21"/>
          <w:lang w:val="fr-FR"/>
        </w:rPr>
        <w:t xml:space="preserve">de financements et de partenariats. La cartographie des capacités existant dans l’ensemble du contexte pourrait jeter une lumière sur la mesure dans laquelle l’action humanitaire peut être localisée et sur </w:t>
      </w:r>
      <w:r w:rsidR="00A61435" w:rsidRPr="008E116A">
        <w:rPr>
          <w:rFonts w:cstheme="minorHAnsi"/>
          <w:sz w:val="21"/>
          <w:szCs w:val="21"/>
          <w:lang w:val="fr-FR"/>
        </w:rPr>
        <w:t>les moyens</w:t>
      </w:r>
      <w:r w:rsidR="00B70143" w:rsidRPr="008E116A">
        <w:rPr>
          <w:rFonts w:cstheme="minorHAnsi"/>
          <w:sz w:val="21"/>
          <w:szCs w:val="21"/>
          <w:lang w:val="fr-FR"/>
        </w:rPr>
        <w:t xml:space="preserve"> de combler les </w:t>
      </w:r>
      <w:r w:rsidR="00A61435" w:rsidRPr="008E116A">
        <w:rPr>
          <w:rFonts w:cstheme="minorHAnsi"/>
          <w:sz w:val="21"/>
          <w:szCs w:val="21"/>
          <w:lang w:val="fr-FR"/>
        </w:rPr>
        <w:t>déficits de capacité locale</w:t>
      </w:r>
      <w:r w:rsidR="00B70143" w:rsidRPr="008E116A">
        <w:rPr>
          <w:rFonts w:cstheme="minorHAnsi"/>
          <w:sz w:val="21"/>
          <w:szCs w:val="21"/>
          <w:lang w:val="fr-FR"/>
        </w:rPr>
        <w:t>.</w:t>
      </w:r>
    </w:p>
    <w:p w14:paraId="7B530B68" w14:textId="77777777" w:rsidR="00950EA4" w:rsidRPr="008E116A" w:rsidRDefault="00950EA4" w:rsidP="002A0D30">
      <w:pPr>
        <w:pStyle w:val="ListParagraph"/>
        <w:ind w:left="360"/>
        <w:jc w:val="both"/>
        <w:rPr>
          <w:rFonts w:cstheme="minorHAnsi"/>
          <w:sz w:val="21"/>
          <w:szCs w:val="21"/>
          <w:lang w:val="fr-FR"/>
        </w:rPr>
      </w:pPr>
    </w:p>
    <w:p w14:paraId="52B57F5D" w14:textId="757C5DD6" w:rsidR="00813FD7" w:rsidRPr="008E116A" w:rsidRDefault="00B70143" w:rsidP="002A0D30">
      <w:pPr>
        <w:pStyle w:val="ListParagraph"/>
        <w:numPr>
          <w:ilvl w:val="0"/>
          <w:numId w:val="4"/>
        </w:numPr>
        <w:jc w:val="both"/>
        <w:rPr>
          <w:rFonts w:cstheme="minorHAnsi"/>
          <w:sz w:val="21"/>
          <w:szCs w:val="21"/>
          <w:lang w:val="fr-FR"/>
        </w:rPr>
      </w:pPr>
      <w:r w:rsidRPr="008E116A">
        <w:rPr>
          <w:rFonts w:cstheme="minorHAnsi"/>
          <w:sz w:val="21"/>
          <w:szCs w:val="21"/>
          <w:lang w:val="fr-FR"/>
        </w:rPr>
        <w:lastRenderedPageBreak/>
        <w:t xml:space="preserve">La « capacité » de chaque organisation est dynamique et évolutive, et dépend souvent des personnes et du contexte. Ainsi, une organisation peut avoir la capacité d’intervenir en cas d’inondation, mais pas de </w:t>
      </w:r>
      <w:r w:rsidR="00EA1363" w:rsidRPr="008E116A">
        <w:rPr>
          <w:rFonts w:cstheme="minorHAnsi"/>
          <w:sz w:val="21"/>
          <w:szCs w:val="21"/>
          <w:lang w:val="fr-FR"/>
        </w:rPr>
        <w:t>faire face</w:t>
      </w:r>
      <w:r w:rsidRPr="008E116A">
        <w:rPr>
          <w:rFonts w:cstheme="minorHAnsi"/>
          <w:sz w:val="21"/>
          <w:szCs w:val="21"/>
          <w:lang w:val="fr-FR"/>
        </w:rPr>
        <w:t xml:space="preserve"> à un afflux de réfugiés. Il convient en outre de reconnaître que chaque organisation nécessite des investissements pour croître de manière durable.</w:t>
      </w:r>
    </w:p>
    <w:p w14:paraId="04D983A4" w14:textId="1D6A0768" w:rsidR="001F624B" w:rsidRPr="008E116A" w:rsidRDefault="00BA68D9" w:rsidP="002A0D30">
      <w:pPr>
        <w:jc w:val="both"/>
        <w:rPr>
          <w:rFonts w:ascii="Montserrat" w:eastAsiaTheme="majorEastAsia" w:hAnsi="Montserrat" w:cstheme="majorBidi"/>
          <w:b/>
          <w:bCs/>
          <w:color w:val="011E41"/>
          <w:lang w:val="fr-FR"/>
        </w:rPr>
      </w:pPr>
      <w:r w:rsidRPr="008E116A">
        <w:rPr>
          <w:rFonts w:ascii="Montserrat" w:eastAsiaTheme="majorEastAsia" w:hAnsi="Montserrat" w:cstheme="majorBidi"/>
          <w:b/>
          <w:bCs/>
          <w:color w:val="011E41"/>
          <w:lang w:val="fr-FR"/>
        </w:rPr>
        <w:t>R</w:t>
      </w:r>
      <w:r w:rsidR="001F624B" w:rsidRPr="008E116A">
        <w:rPr>
          <w:rFonts w:ascii="Montserrat" w:eastAsiaTheme="majorEastAsia" w:hAnsi="Montserrat" w:cstheme="majorBidi"/>
          <w:b/>
          <w:bCs/>
          <w:color w:val="011E41"/>
          <w:lang w:val="fr-FR"/>
        </w:rPr>
        <w:t>ecomm</w:t>
      </w:r>
      <w:r w:rsidRPr="008E116A">
        <w:rPr>
          <w:rFonts w:ascii="Montserrat" w:eastAsiaTheme="majorEastAsia" w:hAnsi="Montserrat" w:cstheme="majorBidi"/>
          <w:b/>
          <w:bCs/>
          <w:color w:val="011E41"/>
          <w:lang w:val="fr-FR"/>
        </w:rPr>
        <w:t>a</w:t>
      </w:r>
      <w:r w:rsidR="001F624B" w:rsidRPr="008E116A">
        <w:rPr>
          <w:rFonts w:ascii="Montserrat" w:eastAsiaTheme="majorEastAsia" w:hAnsi="Montserrat" w:cstheme="majorBidi"/>
          <w:b/>
          <w:bCs/>
          <w:color w:val="011E41"/>
          <w:lang w:val="fr-FR"/>
        </w:rPr>
        <w:t>ndations</w:t>
      </w:r>
      <w:r w:rsidRPr="008E116A">
        <w:rPr>
          <w:rFonts w:ascii="Montserrat" w:eastAsiaTheme="majorEastAsia" w:hAnsi="Montserrat" w:cstheme="majorBidi"/>
          <w:b/>
          <w:bCs/>
          <w:color w:val="011E41"/>
          <w:lang w:val="fr-FR"/>
        </w:rPr>
        <w:t xml:space="preserve"> générales</w:t>
      </w:r>
    </w:p>
    <w:p w14:paraId="67DE5D4A" w14:textId="007D91F7" w:rsidR="007B6469" w:rsidRPr="008E116A" w:rsidRDefault="00B70143" w:rsidP="002A0D30">
      <w:pPr>
        <w:pStyle w:val="ListParagraph"/>
        <w:numPr>
          <w:ilvl w:val="0"/>
          <w:numId w:val="3"/>
        </w:numPr>
        <w:jc w:val="both"/>
        <w:rPr>
          <w:rFonts w:cstheme="minorHAnsi"/>
          <w:sz w:val="21"/>
          <w:szCs w:val="21"/>
          <w:lang w:val="fr-FR"/>
        </w:rPr>
      </w:pPr>
      <w:r w:rsidRPr="008E116A">
        <w:rPr>
          <w:rFonts w:cstheme="minorHAnsi"/>
          <w:sz w:val="21"/>
          <w:szCs w:val="21"/>
          <w:lang w:val="fr-FR"/>
        </w:rPr>
        <w:t xml:space="preserve">Le renforcement des capacités des acteurs locaux et internationaux </w:t>
      </w:r>
      <w:r w:rsidR="009D7086" w:rsidRPr="008E116A">
        <w:rPr>
          <w:rFonts w:cstheme="minorHAnsi"/>
          <w:sz w:val="21"/>
          <w:szCs w:val="21"/>
          <w:lang w:val="fr-FR"/>
        </w:rPr>
        <w:t>devrait être</w:t>
      </w:r>
      <w:r w:rsidRPr="008E116A">
        <w:rPr>
          <w:rFonts w:cstheme="minorHAnsi"/>
          <w:sz w:val="21"/>
          <w:szCs w:val="21"/>
          <w:lang w:val="fr-FR"/>
        </w:rPr>
        <w:t xml:space="preserve"> un processus bidirectionnel dont les acteurs internationaux tirent </w:t>
      </w:r>
      <w:r w:rsidR="009D7086" w:rsidRPr="008E116A">
        <w:rPr>
          <w:rFonts w:cstheme="minorHAnsi"/>
          <w:sz w:val="21"/>
          <w:szCs w:val="21"/>
          <w:lang w:val="fr-FR"/>
        </w:rPr>
        <w:t xml:space="preserve">aussi </w:t>
      </w:r>
      <w:r w:rsidRPr="008E116A">
        <w:rPr>
          <w:rFonts w:cstheme="minorHAnsi"/>
          <w:sz w:val="21"/>
          <w:szCs w:val="21"/>
          <w:lang w:val="fr-FR"/>
        </w:rPr>
        <w:t>parti pour apprendre au contact des acteurs locaux,</w:t>
      </w:r>
      <w:r w:rsidR="009D7086" w:rsidRPr="008E116A">
        <w:rPr>
          <w:rFonts w:cstheme="minorHAnsi"/>
          <w:sz w:val="21"/>
          <w:szCs w:val="21"/>
          <w:lang w:val="fr-FR"/>
        </w:rPr>
        <w:t xml:space="preserve"> </w:t>
      </w:r>
      <w:r w:rsidR="00A457AE" w:rsidRPr="008E116A">
        <w:rPr>
          <w:rFonts w:cstheme="minorHAnsi"/>
          <w:sz w:val="21"/>
          <w:szCs w:val="21"/>
          <w:lang w:val="fr-FR"/>
        </w:rPr>
        <w:t xml:space="preserve">et </w:t>
      </w:r>
      <w:r w:rsidR="009D7086" w:rsidRPr="008E116A">
        <w:rPr>
          <w:rFonts w:cstheme="minorHAnsi"/>
          <w:sz w:val="21"/>
          <w:szCs w:val="21"/>
          <w:lang w:val="fr-FR"/>
        </w:rPr>
        <w:t>notamment développer des compétences techniques, prendre connaissance de considérations d’ordre opérationnel, et mieux comprendre le contexte politique, social et culturel.</w:t>
      </w:r>
    </w:p>
    <w:p w14:paraId="68B47669" w14:textId="67313EFD" w:rsidR="00786B98" w:rsidRPr="008E116A" w:rsidRDefault="009D7086" w:rsidP="002A0D30">
      <w:pPr>
        <w:pStyle w:val="ListParagraph"/>
        <w:numPr>
          <w:ilvl w:val="0"/>
          <w:numId w:val="3"/>
        </w:numPr>
        <w:jc w:val="both"/>
        <w:rPr>
          <w:rFonts w:cstheme="minorHAnsi"/>
          <w:sz w:val="21"/>
          <w:szCs w:val="21"/>
          <w:lang w:val="fr-FR"/>
        </w:rPr>
      </w:pPr>
      <w:r w:rsidRPr="008E116A">
        <w:rPr>
          <w:rFonts w:cstheme="minorHAnsi"/>
          <w:sz w:val="21"/>
          <w:szCs w:val="21"/>
          <w:lang w:val="fr-FR"/>
        </w:rPr>
        <w:t>Les acteurs locaux devraient définir les priorités de toute aide au renforcement des capacités qu’ils re</w:t>
      </w:r>
      <w:r w:rsidR="00B571B1" w:rsidRPr="008E116A">
        <w:rPr>
          <w:rFonts w:cstheme="minorHAnsi"/>
          <w:sz w:val="21"/>
          <w:szCs w:val="21"/>
          <w:lang w:val="fr-FR"/>
        </w:rPr>
        <w:t>çoivent</w:t>
      </w:r>
      <w:r w:rsidRPr="008E116A">
        <w:rPr>
          <w:rFonts w:cstheme="minorHAnsi"/>
          <w:sz w:val="21"/>
          <w:szCs w:val="21"/>
          <w:lang w:val="fr-FR"/>
        </w:rPr>
        <w:t>, et s’approprier pleinement cette aide, en tenant compte à la fois</w:t>
      </w:r>
      <w:r w:rsidR="00876C8A" w:rsidRPr="008E116A">
        <w:rPr>
          <w:rFonts w:cstheme="minorHAnsi"/>
          <w:sz w:val="21"/>
          <w:szCs w:val="21"/>
          <w:lang w:val="fr-FR"/>
        </w:rPr>
        <w:t xml:space="preserve"> de </w:t>
      </w:r>
      <w:r w:rsidR="00A457AE" w:rsidRPr="008E116A">
        <w:rPr>
          <w:rFonts w:cstheme="minorHAnsi"/>
          <w:sz w:val="21"/>
          <w:szCs w:val="21"/>
          <w:lang w:val="fr-FR"/>
        </w:rPr>
        <w:t>la</w:t>
      </w:r>
      <w:r w:rsidR="00876C8A" w:rsidRPr="008E116A">
        <w:rPr>
          <w:rFonts w:cstheme="minorHAnsi"/>
          <w:sz w:val="21"/>
          <w:szCs w:val="21"/>
          <w:lang w:val="fr-FR"/>
        </w:rPr>
        <w:t xml:space="preserve"> mise en œuvre </w:t>
      </w:r>
      <w:r w:rsidRPr="008E116A">
        <w:rPr>
          <w:rFonts w:cstheme="minorHAnsi"/>
          <w:sz w:val="21"/>
          <w:szCs w:val="21"/>
          <w:lang w:val="fr-FR"/>
        </w:rPr>
        <w:t>immédiat</w:t>
      </w:r>
      <w:r w:rsidR="00A457AE" w:rsidRPr="008E116A">
        <w:rPr>
          <w:rFonts w:cstheme="minorHAnsi"/>
          <w:sz w:val="21"/>
          <w:szCs w:val="21"/>
          <w:lang w:val="fr-FR"/>
        </w:rPr>
        <w:t>e</w:t>
      </w:r>
      <w:r w:rsidRPr="008E116A">
        <w:rPr>
          <w:rFonts w:cstheme="minorHAnsi"/>
          <w:sz w:val="21"/>
          <w:szCs w:val="21"/>
          <w:lang w:val="fr-FR"/>
        </w:rPr>
        <w:t xml:space="preserve"> et de</w:t>
      </w:r>
      <w:r w:rsidR="00876C8A" w:rsidRPr="008E116A">
        <w:rPr>
          <w:rFonts w:cstheme="minorHAnsi"/>
          <w:sz w:val="21"/>
          <w:szCs w:val="21"/>
          <w:lang w:val="fr-FR"/>
        </w:rPr>
        <w:t xml:space="preserve"> </w:t>
      </w:r>
      <w:r w:rsidR="00A457AE" w:rsidRPr="008E116A">
        <w:rPr>
          <w:rFonts w:cstheme="minorHAnsi"/>
          <w:sz w:val="21"/>
          <w:szCs w:val="21"/>
          <w:lang w:val="fr-FR"/>
        </w:rPr>
        <w:t>l</w:t>
      </w:r>
      <w:r w:rsidR="00876C8A" w:rsidRPr="008E116A">
        <w:rPr>
          <w:rFonts w:cstheme="minorHAnsi"/>
          <w:sz w:val="21"/>
          <w:szCs w:val="21"/>
          <w:lang w:val="fr-FR"/>
        </w:rPr>
        <w:t xml:space="preserve">a </w:t>
      </w:r>
      <w:r w:rsidRPr="008E116A">
        <w:rPr>
          <w:rFonts w:cstheme="minorHAnsi"/>
          <w:sz w:val="21"/>
          <w:szCs w:val="21"/>
          <w:lang w:val="fr-FR"/>
        </w:rPr>
        <w:t>viabilité à long terme.</w:t>
      </w:r>
    </w:p>
    <w:p w14:paraId="4B7DAE8C" w14:textId="4AD1F436" w:rsidR="00A70112" w:rsidRPr="008E116A" w:rsidRDefault="00876C8A" w:rsidP="002A0D30">
      <w:pPr>
        <w:pStyle w:val="ListParagraph"/>
        <w:numPr>
          <w:ilvl w:val="0"/>
          <w:numId w:val="3"/>
        </w:numPr>
        <w:jc w:val="both"/>
        <w:rPr>
          <w:rFonts w:cstheme="minorHAnsi"/>
          <w:sz w:val="21"/>
          <w:szCs w:val="21"/>
          <w:lang w:val="fr-FR"/>
        </w:rPr>
      </w:pPr>
      <w:r w:rsidRPr="008E116A">
        <w:rPr>
          <w:rFonts w:cstheme="minorHAnsi"/>
          <w:sz w:val="21"/>
          <w:szCs w:val="21"/>
          <w:lang w:val="fr-FR"/>
        </w:rPr>
        <w:t xml:space="preserve">En outre, les acteurs participant à des initiatives de renforcement des capacités et les acteurs locaux devraient mettre en commun leurs informations et </w:t>
      </w:r>
      <w:r w:rsidR="00A457AE" w:rsidRPr="008E116A">
        <w:rPr>
          <w:rFonts w:cstheme="minorHAnsi"/>
          <w:sz w:val="21"/>
          <w:szCs w:val="21"/>
          <w:lang w:val="fr-FR"/>
        </w:rPr>
        <w:t xml:space="preserve">s’employer à </w:t>
      </w:r>
      <w:r w:rsidRPr="008E116A">
        <w:rPr>
          <w:rFonts w:cstheme="minorHAnsi"/>
          <w:sz w:val="21"/>
          <w:szCs w:val="21"/>
          <w:lang w:val="fr-FR"/>
        </w:rPr>
        <w:t>définir des objectifs communs en matière de capacité dans l’ensemble du contexte, en vue de créer des synergies entre leurs actions.</w:t>
      </w:r>
    </w:p>
    <w:p w14:paraId="1672BCAB" w14:textId="285CD524" w:rsidR="005C11B8" w:rsidRPr="008E116A" w:rsidRDefault="00876C8A" w:rsidP="00F21602">
      <w:pPr>
        <w:pStyle w:val="ListParagraph"/>
        <w:numPr>
          <w:ilvl w:val="0"/>
          <w:numId w:val="6"/>
        </w:numPr>
        <w:spacing w:after="0" w:line="240" w:lineRule="auto"/>
        <w:jc w:val="both"/>
        <w:rPr>
          <w:rFonts w:cstheme="minorHAnsi"/>
          <w:sz w:val="21"/>
          <w:szCs w:val="21"/>
          <w:lang w:val="fr-FR"/>
        </w:rPr>
      </w:pPr>
      <w:r w:rsidRPr="008E116A">
        <w:rPr>
          <w:rFonts w:cstheme="minorHAnsi"/>
          <w:sz w:val="21"/>
          <w:szCs w:val="21"/>
          <w:lang w:val="fr-FR"/>
        </w:rPr>
        <w:t>Dans l’idéal, les donateurs et les acteurs internationaux devraient opter pour des stratégies de renforcement des capacités à long terme appuyé</w:t>
      </w:r>
      <w:r w:rsidR="00A457AE" w:rsidRPr="008E116A">
        <w:rPr>
          <w:rFonts w:cstheme="minorHAnsi"/>
          <w:sz w:val="21"/>
          <w:szCs w:val="21"/>
          <w:lang w:val="fr-FR"/>
        </w:rPr>
        <w:t>es</w:t>
      </w:r>
      <w:r w:rsidRPr="008E116A">
        <w:rPr>
          <w:rFonts w:cstheme="minorHAnsi"/>
          <w:sz w:val="21"/>
          <w:szCs w:val="21"/>
          <w:lang w:val="fr-FR"/>
        </w:rPr>
        <w:t xml:space="preserve"> par des financements pluriannuels, prévisibles et </w:t>
      </w:r>
      <w:r w:rsidR="00A457AE" w:rsidRPr="008E116A">
        <w:rPr>
          <w:rFonts w:cstheme="minorHAnsi"/>
          <w:sz w:val="21"/>
          <w:szCs w:val="21"/>
          <w:lang w:val="fr-FR"/>
        </w:rPr>
        <w:t>flexibles</w:t>
      </w:r>
      <w:r w:rsidRPr="008E116A">
        <w:rPr>
          <w:rFonts w:cstheme="minorHAnsi"/>
          <w:sz w:val="21"/>
          <w:szCs w:val="21"/>
          <w:lang w:val="fr-FR"/>
        </w:rPr>
        <w:t xml:space="preserve">. L’aide au renforcement des capacités à l’échelle du contexte pourrait cibler des groupes, des réseaux, des acteurs locaux ou des entités nationales. D’un point de vue stratégique, ces investissements devraient </w:t>
      </w:r>
      <w:r w:rsidR="0056103F" w:rsidRPr="008E116A">
        <w:rPr>
          <w:rFonts w:cstheme="minorHAnsi"/>
          <w:sz w:val="21"/>
          <w:szCs w:val="21"/>
          <w:lang w:val="fr-FR"/>
        </w:rPr>
        <w:t>aussi être destinés à</w:t>
      </w:r>
      <w:r w:rsidRPr="008E116A">
        <w:rPr>
          <w:rFonts w:cstheme="minorHAnsi"/>
          <w:sz w:val="21"/>
          <w:szCs w:val="21"/>
          <w:lang w:val="fr-FR"/>
        </w:rPr>
        <w:t xml:space="preserve"> des systèmes d’alerte rapide,</w:t>
      </w:r>
      <w:r w:rsidR="0056103F" w:rsidRPr="008E116A">
        <w:rPr>
          <w:rFonts w:cstheme="minorHAnsi"/>
          <w:sz w:val="21"/>
          <w:szCs w:val="21"/>
          <w:lang w:val="fr-FR"/>
        </w:rPr>
        <w:t xml:space="preserve"> à</w:t>
      </w:r>
      <w:r w:rsidRPr="008E116A">
        <w:rPr>
          <w:rFonts w:cstheme="minorHAnsi"/>
          <w:sz w:val="21"/>
          <w:szCs w:val="21"/>
          <w:lang w:val="fr-FR"/>
        </w:rPr>
        <w:t xml:space="preserve"> des plans d’urgence, </w:t>
      </w:r>
      <w:r w:rsidR="0056103F" w:rsidRPr="008E116A">
        <w:rPr>
          <w:rFonts w:cstheme="minorHAnsi"/>
          <w:sz w:val="21"/>
          <w:szCs w:val="21"/>
          <w:lang w:val="fr-FR"/>
        </w:rPr>
        <w:t xml:space="preserve">au renforcement </w:t>
      </w:r>
      <w:r w:rsidRPr="008E116A">
        <w:rPr>
          <w:rFonts w:cstheme="minorHAnsi"/>
          <w:sz w:val="21"/>
          <w:szCs w:val="21"/>
          <w:lang w:val="fr-FR"/>
        </w:rPr>
        <w:t xml:space="preserve">des capacités d’institutions gouvernementales ou </w:t>
      </w:r>
      <w:r w:rsidR="0056103F" w:rsidRPr="008E116A">
        <w:rPr>
          <w:rFonts w:cstheme="minorHAnsi"/>
          <w:sz w:val="21"/>
          <w:szCs w:val="21"/>
          <w:lang w:val="fr-FR"/>
        </w:rPr>
        <w:t>à un appui</w:t>
      </w:r>
      <w:r w:rsidRPr="008E116A">
        <w:rPr>
          <w:rFonts w:cstheme="minorHAnsi"/>
          <w:sz w:val="21"/>
          <w:szCs w:val="21"/>
          <w:lang w:val="fr-FR"/>
        </w:rPr>
        <w:t xml:space="preserve"> à des entités régionales. Tous les acteurs sont encouragés à </w:t>
      </w:r>
      <w:r w:rsidR="0056103F" w:rsidRPr="008E116A">
        <w:rPr>
          <w:rFonts w:cstheme="minorHAnsi"/>
          <w:sz w:val="21"/>
          <w:szCs w:val="21"/>
          <w:lang w:val="fr-FR"/>
        </w:rPr>
        <w:t>tirer parti de</w:t>
      </w:r>
      <w:r w:rsidRPr="008E116A">
        <w:rPr>
          <w:rFonts w:cstheme="minorHAnsi"/>
          <w:sz w:val="21"/>
          <w:szCs w:val="21"/>
          <w:lang w:val="fr-FR"/>
        </w:rPr>
        <w:t xml:space="preserve"> méthodes de renforcement des capacités innovantes et non traditionnelles</w:t>
      </w:r>
      <w:r w:rsidR="00E701EF" w:rsidRPr="008E116A">
        <w:rPr>
          <w:rFonts w:cstheme="minorHAnsi"/>
          <w:sz w:val="21"/>
          <w:szCs w:val="21"/>
          <w:lang w:val="fr-FR"/>
        </w:rPr>
        <w:t>,</w:t>
      </w:r>
      <w:r w:rsidRPr="008E116A">
        <w:rPr>
          <w:rFonts w:cstheme="minorHAnsi"/>
          <w:sz w:val="21"/>
          <w:szCs w:val="21"/>
          <w:lang w:val="fr-FR"/>
        </w:rPr>
        <w:t xml:space="preserve"> comme </w:t>
      </w:r>
      <w:r w:rsidR="0056103F" w:rsidRPr="008E116A">
        <w:rPr>
          <w:rFonts w:cstheme="minorHAnsi"/>
          <w:sz w:val="21"/>
          <w:szCs w:val="21"/>
          <w:lang w:val="fr-FR"/>
        </w:rPr>
        <w:t>l</w:t>
      </w:r>
      <w:r w:rsidRPr="008E116A">
        <w:rPr>
          <w:rFonts w:cstheme="minorHAnsi"/>
          <w:sz w:val="21"/>
          <w:szCs w:val="21"/>
          <w:lang w:val="fr-FR"/>
        </w:rPr>
        <w:t xml:space="preserve">es initiatives d’observation en situation et de mentorat qui donnent lieu à </w:t>
      </w:r>
      <w:r w:rsidR="0056103F" w:rsidRPr="008E116A">
        <w:rPr>
          <w:rFonts w:cstheme="minorHAnsi"/>
          <w:sz w:val="21"/>
          <w:szCs w:val="21"/>
          <w:lang w:val="fr-FR"/>
        </w:rPr>
        <w:t>un processus plus organique d</w:t>
      </w:r>
      <w:r w:rsidRPr="008E116A">
        <w:rPr>
          <w:rFonts w:cstheme="minorHAnsi"/>
          <w:sz w:val="21"/>
          <w:szCs w:val="21"/>
          <w:lang w:val="fr-FR"/>
        </w:rPr>
        <w:t xml:space="preserve">’apprentissage par les pairs, </w:t>
      </w:r>
      <w:r w:rsidR="0056103F" w:rsidRPr="008E116A">
        <w:rPr>
          <w:rFonts w:cstheme="minorHAnsi"/>
          <w:sz w:val="21"/>
          <w:szCs w:val="21"/>
          <w:lang w:val="fr-FR"/>
        </w:rPr>
        <w:t>et les détachements (par exemple,</w:t>
      </w:r>
      <w:r w:rsidR="00E701EF" w:rsidRPr="008E116A">
        <w:rPr>
          <w:rFonts w:cstheme="minorHAnsi"/>
          <w:sz w:val="21"/>
          <w:szCs w:val="21"/>
          <w:lang w:val="fr-FR"/>
        </w:rPr>
        <w:t xml:space="preserve"> </w:t>
      </w:r>
      <w:r w:rsidR="0056103F" w:rsidRPr="008E116A">
        <w:rPr>
          <w:rFonts w:cstheme="minorHAnsi"/>
          <w:sz w:val="21"/>
          <w:szCs w:val="21"/>
          <w:lang w:val="fr-FR"/>
        </w:rPr>
        <w:t xml:space="preserve">si possible, </w:t>
      </w:r>
      <w:r w:rsidR="00E701EF" w:rsidRPr="008E116A">
        <w:rPr>
          <w:rFonts w:cstheme="minorHAnsi"/>
          <w:sz w:val="21"/>
          <w:szCs w:val="21"/>
          <w:lang w:val="fr-FR"/>
        </w:rPr>
        <w:t>au sein d’institutions donatrices</w:t>
      </w:r>
      <w:r w:rsidR="0056103F" w:rsidRPr="008E116A">
        <w:rPr>
          <w:rFonts w:cstheme="minorHAnsi"/>
          <w:sz w:val="21"/>
          <w:szCs w:val="21"/>
          <w:lang w:val="fr-FR"/>
        </w:rPr>
        <w:t>)</w:t>
      </w:r>
      <w:r w:rsidR="00E701EF" w:rsidRPr="008E116A">
        <w:rPr>
          <w:rFonts w:cstheme="minorHAnsi"/>
          <w:sz w:val="21"/>
          <w:szCs w:val="21"/>
          <w:lang w:val="fr-FR"/>
        </w:rPr>
        <w:t xml:space="preserve"> qui </w:t>
      </w:r>
      <w:r w:rsidR="0056103F" w:rsidRPr="008E116A">
        <w:rPr>
          <w:rFonts w:cstheme="minorHAnsi"/>
          <w:sz w:val="21"/>
          <w:szCs w:val="21"/>
          <w:lang w:val="fr-FR"/>
        </w:rPr>
        <w:t xml:space="preserve">peuvent </w:t>
      </w:r>
      <w:r w:rsidR="00E701EF" w:rsidRPr="008E116A">
        <w:rPr>
          <w:rFonts w:cstheme="minorHAnsi"/>
          <w:sz w:val="21"/>
          <w:szCs w:val="21"/>
          <w:lang w:val="fr-FR"/>
        </w:rPr>
        <w:t xml:space="preserve">davantage </w:t>
      </w:r>
      <w:r w:rsidR="0056103F" w:rsidRPr="008E116A">
        <w:rPr>
          <w:rFonts w:cstheme="minorHAnsi"/>
          <w:sz w:val="21"/>
          <w:szCs w:val="21"/>
          <w:lang w:val="fr-FR"/>
        </w:rPr>
        <w:t xml:space="preserve">faciliter </w:t>
      </w:r>
      <w:r w:rsidR="00E701EF" w:rsidRPr="008E116A">
        <w:rPr>
          <w:rFonts w:cstheme="minorHAnsi"/>
          <w:sz w:val="21"/>
          <w:szCs w:val="21"/>
          <w:lang w:val="fr-FR"/>
        </w:rPr>
        <w:t>un apprentissage dans</w:t>
      </w:r>
      <w:r w:rsidR="0056103F" w:rsidRPr="008E116A">
        <w:rPr>
          <w:rFonts w:cstheme="minorHAnsi"/>
          <w:sz w:val="21"/>
          <w:szCs w:val="21"/>
          <w:lang w:val="fr-FR"/>
        </w:rPr>
        <w:t xml:space="preserve"> les deux sens et constituer</w:t>
      </w:r>
      <w:r w:rsidR="00E701EF" w:rsidRPr="008E116A">
        <w:rPr>
          <w:rFonts w:cstheme="minorHAnsi"/>
          <w:sz w:val="21"/>
          <w:szCs w:val="21"/>
          <w:lang w:val="fr-FR"/>
        </w:rPr>
        <w:t xml:space="preserve"> en temps de crise une solution alternative aux équipes à déploiement rapide.</w:t>
      </w:r>
    </w:p>
    <w:p w14:paraId="28F456B1" w14:textId="4485FDD6" w:rsidR="00855B4F" w:rsidRPr="008E116A" w:rsidRDefault="00E701EF" w:rsidP="002A0D30">
      <w:pPr>
        <w:pStyle w:val="ListParagraph"/>
        <w:numPr>
          <w:ilvl w:val="0"/>
          <w:numId w:val="6"/>
        </w:numPr>
        <w:spacing w:after="0" w:line="240" w:lineRule="auto"/>
        <w:jc w:val="both"/>
        <w:rPr>
          <w:rFonts w:cstheme="minorHAnsi"/>
          <w:sz w:val="21"/>
          <w:szCs w:val="21"/>
          <w:lang w:val="fr-FR"/>
        </w:rPr>
      </w:pPr>
      <w:r w:rsidRPr="008E116A">
        <w:rPr>
          <w:rFonts w:cstheme="minorHAnsi"/>
          <w:sz w:val="21"/>
          <w:szCs w:val="21"/>
          <w:lang w:val="fr-FR"/>
        </w:rPr>
        <w:t>Dans la mesure du possible, le renforcement des activités devrait être un processus mené avant plutôt que suivant une crise.</w:t>
      </w:r>
    </w:p>
    <w:p w14:paraId="43C3318C" w14:textId="77777777" w:rsidR="00842667" w:rsidRPr="008E116A" w:rsidRDefault="00842667" w:rsidP="002A0D30">
      <w:pPr>
        <w:pStyle w:val="ListParagraph"/>
        <w:spacing w:after="0" w:line="240" w:lineRule="auto"/>
        <w:ind w:left="360"/>
        <w:jc w:val="both"/>
        <w:rPr>
          <w:rFonts w:cstheme="minorHAnsi"/>
          <w:sz w:val="21"/>
          <w:szCs w:val="21"/>
          <w:lang w:val="fr-FR"/>
        </w:rPr>
      </w:pPr>
    </w:p>
    <w:p w14:paraId="5B359F65" w14:textId="0D37D71D" w:rsidR="005C11B8" w:rsidRPr="008E116A" w:rsidRDefault="005C11B8" w:rsidP="005C11B8">
      <w:pPr>
        <w:jc w:val="both"/>
        <w:rPr>
          <w:rFonts w:ascii="Montserrat" w:eastAsiaTheme="majorEastAsia" w:hAnsi="Montserrat" w:cstheme="majorBidi"/>
          <w:b/>
          <w:bCs/>
          <w:color w:val="011E41"/>
          <w:lang w:val="fr-FR"/>
        </w:rPr>
      </w:pPr>
      <w:r w:rsidRPr="008E116A">
        <w:rPr>
          <w:rFonts w:ascii="Montserrat" w:eastAsiaTheme="majorEastAsia" w:hAnsi="Montserrat" w:cstheme="majorBidi"/>
          <w:b/>
          <w:bCs/>
          <w:color w:val="011E41"/>
          <w:lang w:val="fr-FR"/>
        </w:rPr>
        <w:t>Recomm</w:t>
      </w:r>
      <w:r w:rsidR="00BA68D9" w:rsidRPr="008E116A">
        <w:rPr>
          <w:rFonts w:ascii="Montserrat" w:eastAsiaTheme="majorEastAsia" w:hAnsi="Montserrat" w:cstheme="majorBidi"/>
          <w:b/>
          <w:bCs/>
          <w:color w:val="011E41"/>
          <w:lang w:val="fr-FR"/>
        </w:rPr>
        <w:t>a</w:t>
      </w:r>
      <w:r w:rsidRPr="008E116A">
        <w:rPr>
          <w:rFonts w:ascii="Montserrat" w:eastAsiaTheme="majorEastAsia" w:hAnsi="Montserrat" w:cstheme="majorBidi"/>
          <w:b/>
          <w:bCs/>
          <w:color w:val="011E41"/>
          <w:lang w:val="fr-FR"/>
        </w:rPr>
        <w:t xml:space="preserve">ndations </w:t>
      </w:r>
      <w:r w:rsidR="00BA68D9" w:rsidRPr="008E116A">
        <w:rPr>
          <w:rFonts w:ascii="Montserrat" w:eastAsiaTheme="majorEastAsia" w:hAnsi="Montserrat" w:cstheme="majorBidi"/>
          <w:b/>
          <w:bCs/>
          <w:color w:val="011E41"/>
          <w:lang w:val="fr-FR"/>
        </w:rPr>
        <w:t>à l'intention des</w:t>
      </w:r>
      <w:r w:rsidRPr="008E116A">
        <w:rPr>
          <w:rFonts w:ascii="Montserrat" w:eastAsiaTheme="majorEastAsia" w:hAnsi="Montserrat" w:cstheme="majorBidi"/>
          <w:b/>
          <w:bCs/>
          <w:color w:val="011E41"/>
          <w:lang w:val="fr-FR"/>
        </w:rPr>
        <w:t xml:space="preserve"> act</w:t>
      </w:r>
      <w:r w:rsidR="00BA68D9" w:rsidRPr="008E116A">
        <w:rPr>
          <w:rFonts w:ascii="Montserrat" w:eastAsiaTheme="majorEastAsia" w:hAnsi="Montserrat" w:cstheme="majorBidi"/>
          <w:b/>
          <w:bCs/>
          <w:color w:val="011E41"/>
          <w:lang w:val="fr-FR"/>
        </w:rPr>
        <w:t>eu</w:t>
      </w:r>
      <w:r w:rsidRPr="008E116A">
        <w:rPr>
          <w:rFonts w:ascii="Montserrat" w:eastAsiaTheme="majorEastAsia" w:hAnsi="Montserrat" w:cstheme="majorBidi"/>
          <w:b/>
          <w:bCs/>
          <w:color w:val="011E41"/>
          <w:lang w:val="fr-FR"/>
        </w:rPr>
        <w:t>rs</w:t>
      </w:r>
      <w:r w:rsidR="00BA68D9" w:rsidRPr="008E116A">
        <w:rPr>
          <w:rFonts w:ascii="Montserrat" w:eastAsiaTheme="majorEastAsia" w:hAnsi="Montserrat" w:cstheme="majorBidi"/>
          <w:b/>
          <w:bCs/>
          <w:color w:val="011E41"/>
          <w:lang w:val="fr-FR"/>
        </w:rPr>
        <w:t xml:space="preserve"> clés</w:t>
      </w:r>
    </w:p>
    <w:p w14:paraId="1A009A9C" w14:textId="7AE59942" w:rsidR="005C11B8" w:rsidRPr="008E116A" w:rsidRDefault="005C11B8" w:rsidP="00E701EF">
      <w:pPr>
        <w:pStyle w:val="ListParagraph"/>
        <w:numPr>
          <w:ilvl w:val="0"/>
          <w:numId w:val="1"/>
        </w:numPr>
        <w:jc w:val="both"/>
        <w:rPr>
          <w:rFonts w:cstheme="minorHAnsi"/>
          <w:b/>
          <w:sz w:val="21"/>
          <w:szCs w:val="21"/>
          <w:lang w:val="fr-FR"/>
        </w:rPr>
      </w:pPr>
      <w:r w:rsidRPr="008E116A">
        <w:rPr>
          <w:rFonts w:cstheme="minorHAnsi"/>
          <w:b/>
          <w:sz w:val="21"/>
          <w:szCs w:val="21"/>
          <w:lang w:val="fr-FR"/>
        </w:rPr>
        <w:t>D</w:t>
      </w:r>
      <w:r w:rsidR="00E701EF" w:rsidRPr="008E116A">
        <w:rPr>
          <w:rFonts w:cstheme="minorHAnsi"/>
          <w:b/>
          <w:sz w:val="21"/>
          <w:szCs w:val="21"/>
          <w:lang w:val="fr-FR"/>
        </w:rPr>
        <w:t>onateurs et autres acteurs internationaux</w:t>
      </w:r>
    </w:p>
    <w:p w14:paraId="73EA1898" w14:textId="77777777" w:rsidR="00625461" w:rsidRPr="008E116A" w:rsidRDefault="00625461" w:rsidP="00625461">
      <w:pPr>
        <w:pStyle w:val="ListParagraph"/>
        <w:ind w:left="360"/>
        <w:jc w:val="both"/>
        <w:rPr>
          <w:rFonts w:cstheme="minorHAnsi"/>
          <w:b/>
          <w:sz w:val="21"/>
          <w:szCs w:val="21"/>
          <w:lang w:val="fr-FR"/>
        </w:rPr>
      </w:pPr>
    </w:p>
    <w:p w14:paraId="0B7EEC3E" w14:textId="1E603351" w:rsidR="006C1616" w:rsidRPr="008E116A" w:rsidRDefault="009972F0" w:rsidP="00625461">
      <w:pPr>
        <w:pStyle w:val="ListParagraph"/>
        <w:numPr>
          <w:ilvl w:val="0"/>
          <w:numId w:val="3"/>
        </w:numPr>
        <w:jc w:val="both"/>
        <w:rPr>
          <w:rFonts w:cstheme="minorHAnsi"/>
          <w:sz w:val="21"/>
          <w:szCs w:val="21"/>
          <w:lang w:val="fr-FR"/>
        </w:rPr>
      </w:pPr>
      <w:r w:rsidRPr="008E116A">
        <w:rPr>
          <w:rFonts w:cstheme="minorHAnsi"/>
          <w:sz w:val="21"/>
          <w:szCs w:val="21"/>
          <w:lang w:val="fr-FR"/>
        </w:rPr>
        <w:t xml:space="preserve">Les donateurs devraient faire du renforcement des capacités locales, en particulier des capacités institutionnelles à long terme, le cas échéant, un objectif explicite de leur aide dans les contextes humanitaires. Pour favoriser des approches correctement adaptées à chaque acteur local, les investissements devraient </w:t>
      </w:r>
      <w:r w:rsidR="00E45B39" w:rsidRPr="008E116A">
        <w:rPr>
          <w:rFonts w:cstheme="minorHAnsi"/>
          <w:sz w:val="21"/>
          <w:szCs w:val="21"/>
          <w:lang w:val="fr-FR"/>
        </w:rPr>
        <w:t xml:space="preserve">s’appuyer </w:t>
      </w:r>
      <w:r w:rsidRPr="008E116A">
        <w:rPr>
          <w:rFonts w:cstheme="minorHAnsi"/>
          <w:sz w:val="21"/>
          <w:szCs w:val="21"/>
          <w:lang w:val="fr-FR"/>
        </w:rPr>
        <w:t>sur les bonnes pratiques existantes, et les dispositifs de financement devraient être aussi souples et durables que possible.</w:t>
      </w:r>
    </w:p>
    <w:p w14:paraId="0866A0A1" w14:textId="77777777" w:rsidR="00251CE6" w:rsidRPr="008E116A" w:rsidRDefault="00251CE6" w:rsidP="00625461">
      <w:pPr>
        <w:pStyle w:val="ListParagraph"/>
        <w:ind w:left="360"/>
        <w:jc w:val="both"/>
        <w:rPr>
          <w:rFonts w:cstheme="minorHAnsi"/>
          <w:sz w:val="21"/>
          <w:szCs w:val="21"/>
          <w:lang w:val="fr-FR"/>
        </w:rPr>
      </w:pPr>
    </w:p>
    <w:p w14:paraId="134B2923" w14:textId="1BEA8161" w:rsidR="005A5733" w:rsidRPr="008E116A" w:rsidRDefault="009972F0" w:rsidP="00625461">
      <w:pPr>
        <w:pStyle w:val="ListParagraph"/>
        <w:numPr>
          <w:ilvl w:val="0"/>
          <w:numId w:val="3"/>
        </w:numPr>
        <w:jc w:val="both"/>
        <w:rPr>
          <w:rFonts w:cstheme="minorHAnsi"/>
          <w:sz w:val="21"/>
          <w:szCs w:val="21"/>
          <w:lang w:val="fr-FR"/>
        </w:rPr>
      </w:pPr>
      <w:r w:rsidRPr="008E116A">
        <w:rPr>
          <w:rFonts w:cstheme="minorHAnsi"/>
          <w:sz w:val="21"/>
          <w:szCs w:val="21"/>
          <w:lang w:val="fr-FR"/>
        </w:rPr>
        <w:t xml:space="preserve">Les acteurs internationaux devraient évaluer d’un œil critique leur propre aptitude à renforcer la capacité d’organisations locales et privilégier le recours </w:t>
      </w:r>
      <w:r w:rsidR="00E45B39" w:rsidRPr="008E116A">
        <w:rPr>
          <w:rFonts w:cstheme="minorHAnsi"/>
          <w:sz w:val="21"/>
          <w:szCs w:val="21"/>
          <w:lang w:val="fr-FR"/>
        </w:rPr>
        <w:t>aux</w:t>
      </w:r>
      <w:r w:rsidRPr="008E116A">
        <w:rPr>
          <w:rFonts w:cstheme="minorHAnsi"/>
          <w:sz w:val="21"/>
          <w:szCs w:val="21"/>
          <w:lang w:val="fr-FR"/>
        </w:rPr>
        <w:t xml:space="preserve"> ressources </w:t>
      </w:r>
      <w:r w:rsidR="00E45B39" w:rsidRPr="008E116A">
        <w:rPr>
          <w:rFonts w:cstheme="minorHAnsi"/>
          <w:sz w:val="21"/>
          <w:szCs w:val="21"/>
          <w:lang w:val="fr-FR"/>
        </w:rPr>
        <w:t>et au savoir-faire nationaux</w:t>
      </w:r>
      <w:r w:rsidRPr="008E116A">
        <w:rPr>
          <w:rFonts w:cstheme="minorHAnsi"/>
          <w:sz w:val="21"/>
          <w:szCs w:val="21"/>
          <w:lang w:val="fr-FR"/>
        </w:rPr>
        <w:t xml:space="preserve"> </w:t>
      </w:r>
      <w:r w:rsidR="00293246" w:rsidRPr="008E116A">
        <w:rPr>
          <w:rFonts w:cstheme="minorHAnsi"/>
          <w:sz w:val="21"/>
          <w:szCs w:val="21"/>
          <w:lang w:val="fr-FR"/>
        </w:rPr>
        <w:t>en vue de</w:t>
      </w:r>
      <w:r w:rsidRPr="008E116A">
        <w:rPr>
          <w:rFonts w:cstheme="minorHAnsi"/>
          <w:sz w:val="21"/>
          <w:szCs w:val="21"/>
          <w:lang w:val="fr-FR"/>
        </w:rPr>
        <w:t xml:space="preserve"> </w:t>
      </w:r>
      <w:r w:rsidR="00293246" w:rsidRPr="008E116A">
        <w:rPr>
          <w:rFonts w:cstheme="minorHAnsi"/>
          <w:sz w:val="21"/>
          <w:szCs w:val="21"/>
          <w:lang w:val="fr-FR"/>
        </w:rPr>
        <w:t>la diffusion de connaissances et de</w:t>
      </w:r>
      <w:r w:rsidRPr="008E116A">
        <w:rPr>
          <w:rFonts w:cstheme="minorHAnsi"/>
          <w:sz w:val="21"/>
          <w:szCs w:val="21"/>
          <w:lang w:val="fr-FR"/>
        </w:rPr>
        <w:t xml:space="preserve"> compétences.</w:t>
      </w:r>
    </w:p>
    <w:p w14:paraId="118B5EBA" w14:textId="77777777" w:rsidR="00251CE6" w:rsidRPr="008E116A" w:rsidRDefault="00251CE6" w:rsidP="00625461">
      <w:pPr>
        <w:pStyle w:val="ListParagraph"/>
        <w:ind w:left="360"/>
        <w:jc w:val="both"/>
        <w:rPr>
          <w:rFonts w:cstheme="minorHAnsi"/>
          <w:sz w:val="21"/>
          <w:szCs w:val="21"/>
          <w:lang w:val="fr-FR"/>
        </w:rPr>
      </w:pPr>
    </w:p>
    <w:p w14:paraId="715C2774" w14:textId="440179F2" w:rsidR="00270D44" w:rsidRPr="008E116A" w:rsidRDefault="009972F0" w:rsidP="00625461">
      <w:pPr>
        <w:pStyle w:val="ListParagraph"/>
        <w:numPr>
          <w:ilvl w:val="0"/>
          <w:numId w:val="3"/>
        </w:numPr>
        <w:jc w:val="both"/>
        <w:rPr>
          <w:rFonts w:cstheme="minorHAnsi"/>
          <w:sz w:val="21"/>
          <w:szCs w:val="21"/>
          <w:lang w:val="fr-FR"/>
        </w:rPr>
      </w:pPr>
      <w:r w:rsidRPr="008E116A">
        <w:rPr>
          <w:rFonts w:cstheme="minorHAnsi"/>
          <w:sz w:val="21"/>
          <w:szCs w:val="21"/>
          <w:lang w:val="fr-FR"/>
        </w:rPr>
        <w:t xml:space="preserve">Dans les cas où les donateurs et les acteurs internationaux exigent de procéder à une évaluation des risques ou des déficits de capacité en vue d’un financement ou d’un partenariat, il convient d’obtenir des investissements pour combler toute lacune mise en évidence. Dans l’idéal, </w:t>
      </w:r>
      <w:r w:rsidR="002E1572" w:rsidRPr="008E116A">
        <w:rPr>
          <w:rFonts w:cstheme="minorHAnsi"/>
          <w:sz w:val="21"/>
          <w:szCs w:val="21"/>
          <w:lang w:val="fr-FR"/>
        </w:rPr>
        <w:t xml:space="preserve">cette </w:t>
      </w:r>
      <w:r w:rsidRPr="008E116A">
        <w:rPr>
          <w:rFonts w:cstheme="minorHAnsi"/>
          <w:sz w:val="21"/>
          <w:szCs w:val="21"/>
          <w:lang w:val="fr-FR"/>
        </w:rPr>
        <w:t>évaluation devrait s’appuyer sur toute évaluation déjà</w:t>
      </w:r>
      <w:r w:rsidR="00F26AB1" w:rsidRPr="008E116A">
        <w:rPr>
          <w:rFonts w:cstheme="minorHAnsi"/>
          <w:sz w:val="21"/>
          <w:szCs w:val="21"/>
          <w:lang w:val="fr-FR"/>
        </w:rPr>
        <w:t xml:space="preserve"> entreprise par l’acteur local </w:t>
      </w:r>
      <w:r w:rsidR="002E1572" w:rsidRPr="008E116A">
        <w:rPr>
          <w:rFonts w:cstheme="minorHAnsi"/>
          <w:sz w:val="21"/>
          <w:szCs w:val="21"/>
          <w:lang w:val="fr-FR"/>
        </w:rPr>
        <w:t>concerné</w:t>
      </w:r>
      <w:r w:rsidR="00F26AB1" w:rsidRPr="008E116A">
        <w:rPr>
          <w:rFonts w:cstheme="minorHAnsi"/>
          <w:sz w:val="21"/>
          <w:szCs w:val="21"/>
          <w:lang w:val="fr-FR"/>
        </w:rPr>
        <w:t>.</w:t>
      </w:r>
    </w:p>
    <w:p w14:paraId="776274E7" w14:textId="77777777" w:rsidR="00270D44" w:rsidRPr="008E116A" w:rsidRDefault="00270D44" w:rsidP="00625461">
      <w:pPr>
        <w:pStyle w:val="ListParagraph"/>
        <w:rPr>
          <w:rFonts w:cstheme="minorHAnsi"/>
          <w:sz w:val="21"/>
          <w:szCs w:val="21"/>
          <w:lang w:val="fr-FR"/>
        </w:rPr>
      </w:pPr>
    </w:p>
    <w:p w14:paraId="4721155F" w14:textId="07417D27" w:rsidR="00786B98" w:rsidRPr="008E116A" w:rsidRDefault="00F26AB1" w:rsidP="00625461">
      <w:pPr>
        <w:pStyle w:val="ListParagraph"/>
        <w:numPr>
          <w:ilvl w:val="0"/>
          <w:numId w:val="3"/>
        </w:numPr>
        <w:jc w:val="both"/>
        <w:rPr>
          <w:rFonts w:cstheme="minorHAnsi"/>
          <w:sz w:val="21"/>
          <w:szCs w:val="21"/>
          <w:lang w:val="fr-FR"/>
        </w:rPr>
      </w:pPr>
      <w:r w:rsidRPr="008E116A">
        <w:rPr>
          <w:rFonts w:cstheme="minorHAnsi"/>
          <w:sz w:val="21"/>
          <w:szCs w:val="21"/>
          <w:lang w:val="fr-FR"/>
        </w:rPr>
        <w:t xml:space="preserve">Les acteurs internationaux devraient travailler en partenariat avec les acteurs locaux afin de recueillir des informations sur les bonnes pratiques </w:t>
      </w:r>
      <w:r w:rsidR="00293246" w:rsidRPr="008E116A">
        <w:rPr>
          <w:rFonts w:cstheme="minorHAnsi"/>
          <w:sz w:val="21"/>
          <w:szCs w:val="21"/>
          <w:lang w:val="fr-FR"/>
        </w:rPr>
        <w:t xml:space="preserve">existantes </w:t>
      </w:r>
      <w:r w:rsidRPr="008E116A">
        <w:rPr>
          <w:rFonts w:cstheme="minorHAnsi"/>
          <w:sz w:val="21"/>
          <w:szCs w:val="21"/>
          <w:lang w:val="fr-FR"/>
        </w:rPr>
        <w:t xml:space="preserve">et de mettre au point des modèles de consensus </w:t>
      </w:r>
      <w:r w:rsidRPr="008E116A">
        <w:rPr>
          <w:rFonts w:cstheme="minorHAnsi"/>
          <w:sz w:val="21"/>
          <w:szCs w:val="21"/>
          <w:lang w:val="fr-FR"/>
        </w:rPr>
        <w:lastRenderedPageBreak/>
        <w:t>aux fins du renforcement des capacités, pour accroître la confiance des donateurs et les encourager à investir dans l’intensification des activités.</w:t>
      </w:r>
    </w:p>
    <w:p w14:paraId="1931B8B1" w14:textId="77777777" w:rsidR="0092533B" w:rsidRPr="008E116A" w:rsidRDefault="0092533B" w:rsidP="002A0D30">
      <w:pPr>
        <w:pStyle w:val="ListParagraph"/>
        <w:ind w:left="360"/>
        <w:jc w:val="both"/>
        <w:rPr>
          <w:rFonts w:cstheme="minorHAnsi"/>
          <w:sz w:val="21"/>
          <w:szCs w:val="21"/>
          <w:lang w:val="fr-FR"/>
        </w:rPr>
      </w:pPr>
    </w:p>
    <w:p w14:paraId="43CBF51B" w14:textId="2DF9B972" w:rsidR="008B3C86" w:rsidRPr="008E116A" w:rsidRDefault="00E701EF" w:rsidP="002A0D30">
      <w:pPr>
        <w:pStyle w:val="ListParagraph"/>
        <w:numPr>
          <w:ilvl w:val="0"/>
          <w:numId w:val="1"/>
        </w:numPr>
        <w:jc w:val="both"/>
        <w:rPr>
          <w:rFonts w:cstheme="minorHAnsi"/>
          <w:b/>
          <w:sz w:val="21"/>
          <w:szCs w:val="21"/>
          <w:lang w:val="fr-FR"/>
        </w:rPr>
      </w:pPr>
      <w:r w:rsidRPr="008E116A">
        <w:rPr>
          <w:rFonts w:cstheme="minorHAnsi"/>
          <w:b/>
          <w:sz w:val="21"/>
          <w:szCs w:val="21"/>
          <w:lang w:val="fr-FR"/>
        </w:rPr>
        <w:t>Acteurs locaux</w:t>
      </w:r>
    </w:p>
    <w:p w14:paraId="05C09D43" w14:textId="77777777" w:rsidR="00625461" w:rsidRPr="008E116A" w:rsidRDefault="00625461" w:rsidP="00625461">
      <w:pPr>
        <w:pStyle w:val="ListParagraph"/>
        <w:ind w:left="360"/>
        <w:jc w:val="both"/>
        <w:rPr>
          <w:rFonts w:cstheme="minorHAnsi"/>
          <w:b/>
          <w:sz w:val="21"/>
          <w:szCs w:val="21"/>
          <w:lang w:val="fr-FR"/>
        </w:rPr>
      </w:pPr>
    </w:p>
    <w:p w14:paraId="721868C6" w14:textId="7D2F7268" w:rsidR="00270D44" w:rsidRPr="008E116A" w:rsidRDefault="00F26AB1" w:rsidP="00625461">
      <w:pPr>
        <w:pStyle w:val="ListParagraph"/>
        <w:numPr>
          <w:ilvl w:val="0"/>
          <w:numId w:val="3"/>
        </w:numPr>
        <w:jc w:val="both"/>
        <w:rPr>
          <w:rFonts w:cstheme="minorHAnsi"/>
          <w:sz w:val="21"/>
          <w:szCs w:val="21"/>
          <w:lang w:val="fr-FR"/>
        </w:rPr>
      </w:pPr>
      <w:r w:rsidRPr="008E116A">
        <w:rPr>
          <w:rFonts w:cstheme="minorHAnsi"/>
          <w:sz w:val="21"/>
          <w:szCs w:val="21"/>
          <w:lang w:val="fr-FR"/>
        </w:rPr>
        <w:t xml:space="preserve">Avant de chercher à nouer des partenariats, les acteurs locaux devraient évaluer leurs propres capacités, points forts et points faibles organisationnels. Ils </w:t>
      </w:r>
      <w:r w:rsidR="00293246" w:rsidRPr="008E116A">
        <w:rPr>
          <w:rFonts w:cstheme="minorHAnsi"/>
          <w:sz w:val="21"/>
          <w:szCs w:val="21"/>
          <w:lang w:val="fr-FR"/>
        </w:rPr>
        <w:t>pourront</w:t>
      </w:r>
      <w:r w:rsidRPr="008E116A">
        <w:rPr>
          <w:rFonts w:cstheme="minorHAnsi"/>
          <w:sz w:val="21"/>
          <w:szCs w:val="21"/>
          <w:lang w:val="fr-FR"/>
        </w:rPr>
        <w:t xml:space="preserve"> ainsi </w:t>
      </w:r>
      <w:r w:rsidR="00293246" w:rsidRPr="008E116A">
        <w:rPr>
          <w:rFonts w:cstheme="minorHAnsi"/>
          <w:sz w:val="21"/>
          <w:szCs w:val="21"/>
          <w:lang w:val="fr-FR"/>
        </w:rPr>
        <w:t xml:space="preserve">être en prise plus directe avec </w:t>
      </w:r>
      <w:r w:rsidRPr="008E116A">
        <w:rPr>
          <w:rFonts w:cstheme="minorHAnsi"/>
          <w:sz w:val="21"/>
          <w:szCs w:val="21"/>
          <w:lang w:val="fr-FR"/>
        </w:rPr>
        <w:t>leur déficit de capacité et les moyens d’y remédier.</w:t>
      </w:r>
    </w:p>
    <w:p w14:paraId="1C7FDE20" w14:textId="77777777" w:rsidR="00625461" w:rsidRPr="008E116A" w:rsidRDefault="00625461" w:rsidP="00625461">
      <w:pPr>
        <w:pStyle w:val="ListParagraph"/>
        <w:ind w:left="360"/>
        <w:jc w:val="both"/>
        <w:rPr>
          <w:rFonts w:cstheme="minorHAnsi"/>
          <w:sz w:val="21"/>
          <w:szCs w:val="21"/>
          <w:lang w:val="fr-FR"/>
        </w:rPr>
      </w:pPr>
    </w:p>
    <w:p w14:paraId="69B96769" w14:textId="4227B8CA" w:rsidR="00270D44" w:rsidRPr="008E116A" w:rsidRDefault="00F26AB1" w:rsidP="00C6203D">
      <w:pPr>
        <w:pStyle w:val="ListParagraph"/>
        <w:numPr>
          <w:ilvl w:val="0"/>
          <w:numId w:val="3"/>
        </w:numPr>
        <w:jc w:val="both"/>
        <w:rPr>
          <w:rFonts w:cstheme="minorHAnsi"/>
          <w:sz w:val="21"/>
          <w:szCs w:val="21"/>
          <w:lang w:val="fr-FR"/>
        </w:rPr>
      </w:pPr>
      <w:r w:rsidRPr="008E116A">
        <w:rPr>
          <w:rFonts w:cstheme="minorHAnsi"/>
          <w:sz w:val="21"/>
          <w:szCs w:val="21"/>
          <w:lang w:val="fr-FR"/>
        </w:rPr>
        <w:t xml:space="preserve">Les acteurs locaux devraient par ailleurs tirer parti de leurs réseaux et des examens par les pairs pour mettre en commun leurs connaissances et renforcer leur voix collective lorsqu’ils défendent des partenariats </w:t>
      </w:r>
      <w:r w:rsidR="00756A8F" w:rsidRPr="008E116A">
        <w:rPr>
          <w:rFonts w:cstheme="minorHAnsi"/>
          <w:sz w:val="21"/>
          <w:szCs w:val="21"/>
          <w:lang w:val="fr-FR"/>
        </w:rPr>
        <w:t>et un renforcement des capacités plus équitables</w:t>
      </w:r>
      <w:r w:rsidR="00756A8F" w:rsidRPr="008E116A">
        <w:rPr>
          <w:rStyle w:val="FootnoteReference"/>
          <w:rFonts w:cstheme="minorHAnsi"/>
          <w:sz w:val="21"/>
          <w:szCs w:val="21"/>
          <w:lang w:val="fr-FR"/>
        </w:rPr>
        <w:footnoteReference w:id="3"/>
      </w:r>
      <w:r w:rsidR="00756A8F" w:rsidRPr="008E116A">
        <w:rPr>
          <w:rFonts w:cstheme="minorHAnsi"/>
          <w:sz w:val="21"/>
          <w:szCs w:val="21"/>
          <w:lang w:val="fr-FR"/>
        </w:rPr>
        <w:t>.</w:t>
      </w:r>
    </w:p>
    <w:sectPr w:rsidR="00270D44" w:rsidRPr="008E11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82CE8" w14:textId="77777777" w:rsidR="001B669C" w:rsidRDefault="001B669C" w:rsidP="007D3558">
      <w:pPr>
        <w:spacing w:after="0" w:line="240" w:lineRule="auto"/>
      </w:pPr>
      <w:r>
        <w:separator/>
      </w:r>
    </w:p>
  </w:endnote>
  <w:endnote w:type="continuationSeparator" w:id="0">
    <w:p w14:paraId="6D86732B" w14:textId="77777777" w:rsidR="001B669C" w:rsidRDefault="001B669C" w:rsidP="007D3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ontserrat">
    <w:altName w:val="Cambria"/>
    <w:panose1 w:val="00000000000000000000"/>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CCDB8" w14:textId="77777777" w:rsidR="001B669C" w:rsidRDefault="001B669C" w:rsidP="007D3558">
      <w:pPr>
        <w:spacing w:after="0" w:line="240" w:lineRule="auto"/>
      </w:pPr>
      <w:r>
        <w:separator/>
      </w:r>
    </w:p>
  </w:footnote>
  <w:footnote w:type="continuationSeparator" w:id="0">
    <w:p w14:paraId="2DD22FC7" w14:textId="77777777" w:rsidR="001B669C" w:rsidRDefault="001B669C" w:rsidP="007D3558">
      <w:pPr>
        <w:spacing w:after="0" w:line="240" w:lineRule="auto"/>
      </w:pPr>
      <w:r>
        <w:continuationSeparator/>
      </w:r>
    </w:p>
  </w:footnote>
  <w:footnote w:id="1">
    <w:p w14:paraId="0F427A99" w14:textId="756F1566" w:rsidR="00B97166" w:rsidRPr="00B97166" w:rsidRDefault="00B97166" w:rsidP="00B97166">
      <w:pPr>
        <w:pStyle w:val="FootnoteText"/>
        <w:rPr>
          <w:lang w:val="fr-FR"/>
        </w:rPr>
      </w:pPr>
      <w:r>
        <w:rPr>
          <w:rStyle w:val="FootnoteReference"/>
        </w:rPr>
        <w:footnoteRef/>
      </w:r>
      <w:r w:rsidRPr="00B97166">
        <w:rPr>
          <w:lang w:val="fr-FR"/>
        </w:rPr>
        <w:t xml:space="preserve"> Dans la présente note, le</w:t>
      </w:r>
      <w:r>
        <w:rPr>
          <w:lang w:val="fr-FR"/>
        </w:rPr>
        <w:t xml:space="preserve"> terme « acteurs locaux </w:t>
      </w:r>
      <w:r w:rsidRPr="00B97166">
        <w:rPr>
          <w:lang w:val="fr-FR"/>
        </w:rPr>
        <w:t>»</w:t>
      </w:r>
      <w:r>
        <w:rPr>
          <w:lang w:val="fr-FR"/>
        </w:rPr>
        <w:t xml:space="preserve"> renvoie aux interve</w:t>
      </w:r>
      <w:r w:rsidR="006A4428">
        <w:rPr>
          <w:lang w:val="fr-FR"/>
        </w:rPr>
        <w:t xml:space="preserve">nants locaux ayant une portée </w:t>
      </w:r>
      <w:r>
        <w:rPr>
          <w:lang w:val="fr-FR"/>
        </w:rPr>
        <w:t>tant nationale que sous-nationale.</w:t>
      </w:r>
    </w:p>
  </w:footnote>
  <w:footnote w:id="2">
    <w:p w14:paraId="5775B7EA" w14:textId="1A3440CE" w:rsidR="00B97166" w:rsidRPr="00C34889" w:rsidRDefault="00B97166" w:rsidP="00B97166">
      <w:pPr>
        <w:pStyle w:val="FootnoteText"/>
        <w:rPr>
          <w:lang w:val="fr-FR"/>
        </w:rPr>
      </w:pPr>
      <w:r>
        <w:rPr>
          <w:rStyle w:val="FootnoteReference"/>
        </w:rPr>
        <w:footnoteRef/>
      </w:r>
      <w:r w:rsidRPr="00C34889">
        <w:rPr>
          <w:lang w:val="fr-FR"/>
        </w:rPr>
        <w:t xml:space="preserve"> </w:t>
      </w:r>
      <w:r w:rsidR="00C34889" w:rsidRPr="00C34889">
        <w:rPr>
          <w:lang w:val="fr-FR"/>
        </w:rPr>
        <w:t>Le projet</w:t>
      </w:r>
      <w:r w:rsidR="00C34889">
        <w:rPr>
          <w:lang w:val="fr-FR"/>
        </w:rPr>
        <w:t xml:space="preserve"> a exploité </w:t>
      </w:r>
      <w:r w:rsidR="00C34889" w:rsidRPr="00C34889">
        <w:rPr>
          <w:lang w:val="fr-FR"/>
        </w:rPr>
        <w:t>les conclusions</w:t>
      </w:r>
      <w:r w:rsidR="00C34889">
        <w:rPr>
          <w:lang w:val="fr-FR"/>
        </w:rPr>
        <w:t xml:space="preserve"> de deux </w:t>
      </w:r>
      <w:r w:rsidR="00C34889" w:rsidRPr="00C34889">
        <w:rPr>
          <w:lang w:val="fr-FR"/>
        </w:rPr>
        <w:t>étude</w:t>
      </w:r>
      <w:r w:rsidR="00C34889">
        <w:rPr>
          <w:lang w:val="fr-FR"/>
        </w:rPr>
        <w:t>s</w:t>
      </w:r>
      <w:r w:rsidR="00C34889" w:rsidRPr="00C34889">
        <w:rPr>
          <w:lang w:val="fr-FR"/>
        </w:rPr>
        <w:t xml:space="preserve"> de cas</w:t>
      </w:r>
      <w:r w:rsidR="00C34889">
        <w:rPr>
          <w:lang w:val="fr-FR"/>
        </w:rPr>
        <w:t xml:space="preserve"> portant, d'une part, sur le </w:t>
      </w:r>
      <w:r w:rsidR="00C34889" w:rsidRPr="00C34889">
        <w:rPr>
          <w:lang w:val="fr-FR"/>
        </w:rPr>
        <w:t>conflit qui touche le Sud-Kivu et le Kasaï</w:t>
      </w:r>
      <w:r w:rsidR="00BA68D9">
        <w:rPr>
          <w:lang w:val="fr-FR"/>
        </w:rPr>
        <w:t xml:space="preserve"> </w:t>
      </w:r>
      <w:r w:rsidR="00441DBD">
        <w:rPr>
          <w:lang w:val="fr-FR"/>
        </w:rPr>
        <w:t>c</w:t>
      </w:r>
      <w:r w:rsidR="00C34889" w:rsidRPr="00C34889">
        <w:rPr>
          <w:lang w:val="fr-FR"/>
        </w:rPr>
        <w:t xml:space="preserve">entral </w:t>
      </w:r>
      <w:r w:rsidR="00C34889">
        <w:rPr>
          <w:lang w:val="fr-FR"/>
        </w:rPr>
        <w:t xml:space="preserve">en </w:t>
      </w:r>
      <w:hyperlink r:id="rId1" w:history="1">
        <w:r w:rsidR="00C34889" w:rsidRPr="00C34889">
          <w:rPr>
            <w:rStyle w:val="Hyperlink"/>
            <w:lang w:val="fr-FR"/>
          </w:rPr>
          <w:t>République démocratique du Congo</w:t>
        </w:r>
      </w:hyperlink>
      <w:r w:rsidR="00C34889">
        <w:rPr>
          <w:lang w:val="fr-FR"/>
        </w:rPr>
        <w:t xml:space="preserve"> (RDC), et d'autre part, sur la crise des réfugiés r</w:t>
      </w:r>
      <w:r w:rsidR="00C34889" w:rsidRPr="00C34889">
        <w:rPr>
          <w:lang w:val="fr-FR"/>
        </w:rPr>
        <w:t>ohingya</w:t>
      </w:r>
      <w:r w:rsidR="00C34889">
        <w:rPr>
          <w:lang w:val="fr-FR"/>
        </w:rPr>
        <w:t xml:space="preserve">s au </w:t>
      </w:r>
      <w:hyperlink r:id="rId2" w:history="1">
        <w:r w:rsidR="00C34889" w:rsidRPr="00C34889">
          <w:rPr>
            <w:rStyle w:val="Hyperlink"/>
            <w:lang w:val="fr-FR"/>
          </w:rPr>
          <w:t>Bangladesh</w:t>
        </w:r>
      </w:hyperlink>
      <w:r w:rsidR="00C34889">
        <w:rPr>
          <w:lang w:val="fr-FR"/>
        </w:rPr>
        <w:t>, ainsi qu'un</w:t>
      </w:r>
      <w:r w:rsidR="00441DBD">
        <w:rPr>
          <w:lang w:val="fr-FR"/>
        </w:rPr>
        <w:t>e</w:t>
      </w:r>
      <w:r w:rsidR="00C34889">
        <w:rPr>
          <w:lang w:val="fr-FR"/>
        </w:rPr>
        <w:t xml:space="preserve"> </w:t>
      </w:r>
      <w:hyperlink r:id="rId3" w:history="1">
        <w:r w:rsidR="00441DBD" w:rsidRPr="00441DBD">
          <w:rPr>
            <w:rStyle w:val="Hyperlink"/>
            <w:lang w:val="fr-FR"/>
          </w:rPr>
          <w:t>an</w:t>
        </w:r>
        <w:r w:rsidR="00441DBD">
          <w:rPr>
            <w:rStyle w:val="Hyperlink"/>
            <w:lang w:val="fr-FR"/>
          </w:rPr>
          <w:t>alyse documentaire</w:t>
        </w:r>
      </w:hyperlink>
      <w:r w:rsidR="00C34889">
        <w:rPr>
          <w:lang w:val="fr-FR"/>
        </w:rPr>
        <w:t>.</w:t>
      </w:r>
    </w:p>
  </w:footnote>
  <w:footnote w:id="3">
    <w:p w14:paraId="6263F63B" w14:textId="1CDB246E" w:rsidR="00756A8F" w:rsidRPr="00756A8F" w:rsidRDefault="00756A8F" w:rsidP="00756A8F">
      <w:pPr>
        <w:pStyle w:val="FootnoteText"/>
        <w:rPr>
          <w:lang w:val="fr-FR"/>
        </w:rPr>
      </w:pPr>
      <w:r>
        <w:rPr>
          <w:rStyle w:val="FootnoteReference"/>
        </w:rPr>
        <w:footnoteRef/>
      </w:r>
      <w:r w:rsidRPr="007409BD">
        <w:rPr>
          <w:lang w:val="fr-FR"/>
        </w:rPr>
        <w:t xml:space="preserve"> </w:t>
      </w:r>
      <w:r w:rsidRPr="00756A8F">
        <w:rPr>
          <w:lang w:val="fr-FR"/>
        </w:rPr>
        <w:t>Le programme d'Oxfam sur l'autonomisation des acteurs humanitaires</w:t>
      </w:r>
      <w:r>
        <w:rPr>
          <w:lang w:val="fr-FR"/>
        </w:rPr>
        <w:t xml:space="preserve"> locaux et nationaux</w:t>
      </w:r>
      <w:r>
        <w:rPr>
          <w:i/>
          <w:lang w:val="fr-FR"/>
        </w:rPr>
        <w:t xml:space="preserve"> </w:t>
      </w:r>
      <w:r w:rsidRPr="00756A8F">
        <w:rPr>
          <w:lang w:val="fr-FR"/>
        </w:rPr>
        <w:t>(ELNHA)</w:t>
      </w:r>
      <w:r>
        <w:rPr>
          <w:lang w:val="fr-FR"/>
        </w:rPr>
        <w:t xml:space="preserve"> en est un exemple. Il a pour objet d'évaluer les capacités au niveau de « réseaux » d'organisation</w:t>
      </w:r>
      <w:r w:rsidR="00293246">
        <w:rPr>
          <w:lang w:val="fr-FR"/>
        </w:rPr>
        <w:t>s</w:t>
      </w:r>
      <w:r>
        <w:rPr>
          <w:lang w:val="fr-FR"/>
        </w:rPr>
        <w:t xml:space="preserve"> et dans un contexte donné, et de mener des discussions conjointes sur les déficits de capacité ainsi que sur les compétences existant dans ces groupes. La section 3.2 du </w:t>
      </w:r>
      <w:hyperlink r:id="rId4" w:history="1">
        <w:r w:rsidR="00293246">
          <w:rPr>
            <w:rStyle w:val="Hyperlink"/>
            <w:lang w:val="fr-FR"/>
          </w:rPr>
          <w:t xml:space="preserve">rapport annuel indépendant de 2019 sur le Grand compromis </w:t>
        </w:r>
      </w:hyperlink>
      <w:r>
        <w:rPr>
          <w:lang w:val="fr-FR"/>
        </w:rPr>
        <w:t>présente d'autres exemples</w:t>
      </w:r>
      <w:r w:rsidR="007409BD">
        <w:rPr>
          <w:lang w:val="fr-FR"/>
        </w:rPr>
        <w:t xml:space="preserve"> d'approches efficaces en matière de renforcement des capacités visant à promouvoir des interventions humanitaires plus localisées.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5721"/>
    <w:multiLevelType w:val="hybridMultilevel"/>
    <w:tmpl w:val="C8168E78"/>
    <w:lvl w:ilvl="0" w:tplc="501E188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C49E6"/>
    <w:multiLevelType w:val="hybridMultilevel"/>
    <w:tmpl w:val="A0648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A8290A"/>
    <w:multiLevelType w:val="hybridMultilevel"/>
    <w:tmpl w:val="40B827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1A073D"/>
    <w:multiLevelType w:val="hybridMultilevel"/>
    <w:tmpl w:val="91B663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3857A0"/>
    <w:multiLevelType w:val="hybridMultilevel"/>
    <w:tmpl w:val="5EB4B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A5A5FA8"/>
    <w:multiLevelType w:val="hybridMultilevel"/>
    <w:tmpl w:val="1140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1F6006"/>
    <w:multiLevelType w:val="hybridMultilevel"/>
    <w:tmpl w:val="0302A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5773774"/>
    <w:multiLevelType w:val="hybridMultilevel"/>
    <w:tmpl w:val="62E8D2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20" w:hanging="360"/>
      </w:pPr>
    </w:lvl>
    <w:lvl w:ilvl="2" w:tplc="0809001B" w:tentative="1">
      <w:start w:val="1"/>
      <w:numFmt w:val="lowerRoman"/>
      <w:lvlText w:val="%3."/>
      <w:lvlJc w:val="right"/>
      <w:pPr>
        <w:ind w:left="600" w:hanging="180"/>
      </w:pPr>
    </w:lvl>
    <w:lvl w:ilvl="3" w:tplc="0809000F" w:tentative="1">
      <w:start w:val="1"/>
      <w:numFmt w:val="decimal"/>
      <w:lvlText w:val="%4."/>
      <w:lvlJc w:val="left"/>
      <w:pPr>
        <w:ind w:left="1320" w:hanging="360"/>
      </w:pPr>
    </w:lvl>
    <w:lvl w:ilvl="4" w:tplc="08090019" w:tentative="1">
      <w:start w:val="1"/>
      <w:numFmt w:val="lowerLetter"/>
      <w:lvlText w:val="%5."/>
      <w:lvlJc w:val="left"/>
      <w:pPr>
        <w:ind w:left="2040" w:hanging="360"/>
      </w:pPr>
    </w:lvl>
    <w:lvl w:ilvl="5" w:tplc="0809001B" w:tentative="1">
      <w:start w:val="1"/>
      <w:numFmt w:val="lowerRoman"/>
      <w:lvlText w:val="%6."/>
      <w:lvlJc w:val="right"/>
      <w:pPr>
        <w:ind w:left="2760" w:hanging="180"/>
      </w:pPr>
    </w:lvl>
    <w:lvl w:ilvl="6" w:tplc="0809000F" w:tentative="1">
      <w:start w:val="1"/>
      <w:numFmt w:val="decimal"/>
      <w:lvlText w:val="%7."/>
      <w:lvlJc w:val="left"/>
      <w:pPr>
        <w:ind w:left="3480" w:hanging="360"/>
      </w:pPr>
    </w:lvl>
    <w:lvl w:ilvl="7" w:tplc="08090019" w:tentative="1">
      <w:start w:val="1"/>
      <w:numFmt w:val="lowerLetter"/>
      <w:lvlText w:val="%8."/>
      <w:lvlJc w:val="left"/>
      <w:pPr>
        <w:ind w:left="4200" w:hanging="360"/>
      </w:pPr>
    </w:lvl>
    <w:lvl w:ilvl="8" w:tplc="0809001B" w:tentative="1">
      <w:start w:val="1"/>
      <w:numFmt w:val="lowerRoman"/>
      <w:lvlText w:val="%9."/>
      <w:lvlJc w:val="right"/>
      <w:pPr>
        <w:ind w:left="4920" w:hanging="180"/>
      </w:pPr>
    </w:lvl>
  </w:abstractNum>
  <w:num w:numId="1">
    <w:abstractNumId w:val="7"/>
  </w:num>
  <w:num w:numId="2">
    <w:abstractNumId w:val="0"/>
  </w:num>
  <w:num w:numId="3">
    <w:abstractNumId w:val="3"/>
  </w:num>
  <w:num w:numId="4">
    <w:abstractNumId w:val="4"/>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A6084DC-DA00-41A5-A5B3-56C3A09D159A}"/>
    <w:docVar w:name="dgnword-eventsink" w:val="211206080"/>
  </w:docVars>
  <w:rsids>
    <w:rsidRoot w:val="008B3C86"/>
    <w:rsid w:val="00015814"/>
    <w:rsid w:val="000229F9"/>
    <w:rsid w:val="000575AA"/>
    <w:rsid w:val="00067D41"/>
    <w:rsid w:val="000B5BCA"/>
    <w:rsid w:val="000C5BBD"/>
    <w:rsid w:val="000D0482"/>
    <w:rsid w:val="000D3FB1"/>
    <w:rsid w:val="000E2A36"/>
    <w:rsid w:val="000E3EB6"/>
    <w:rsid w:val="001142E8"/>
    <w:rsid w:val="001245CA"/>
    <w:rsid w:val="00142949"/>
    <w:rsid w:val="00156276"/>
    <w:rsid w:val="00185907"/>
    <w:rsid w:val="00190036"/>
    <w:rsid w:val="001A7017"/>
    <w:rsid w:val="001B669C"/>
    <w:rsid w:val="001C0DB0"/>
    <w:rsid w:val="001C2524"/>
    <w:rsid w:val="001F36D3"/>
    <w:rsid w:val="001F624B"/>
    <w:rsid w:val="002048C8"/>
    <w:rsid w:val="00223099"/>
    <w:rsid w:val="00223EB1"/>
    <w:rsid w:val="002300EB"/>
    <w:rsid w:val="00235CF8"/>
    <w:rsid w:val="00251CE6"/>
    <w:rsid w:val="00253892"/>
    <w:rsid w:val="00255F04"/>
    <w:rsid w:val="0025689F"/>
    <w:rsid w:val="00257093"/>
    <w:rsid w:val="00270D44"/>
    <w:rsid w:val="002838E7"/>
    <w:rsid w:val="00293246"/>
    <w:rsid w:val="002A0D30"/>
    <w:rsid w:val="002A182B"/>
    <w:rsid w:val="002B5565"/>
    <w:rsid w:val="002C69F5"/>
    <w:rsid w:val="002D0DC2"/>
    <w:rsid w:val="002D1CDD"/>
    <w:rsid w:val="002E1572"/>
    <w:rsid w:val="0031005C"/>
    <w:rsid w:val="00313B48"/>
    <w:rsid w:val="00325D30"/>
    <w:rsid w:val="003503A5"/>
    <w:rsid w:val="00350FA2"/>
    <w:rsid w:val="0036180D"/>
    <w:rsid w:val="003922DD"/>
    <w:rsid w:val="00394D69"/>
    <w:rsid w:val="003B453E"/>
    <w:rsid w:val="003C302A"/>
    <w:rsid w:val="003D5A55"/>
    <w:rsid w:val="003F6051"/>
    <w:rsid w:val="00441DBD"/>
    <w:rsid w:val="00447ACE"/>
    <w:rsid w:val="00485EB9"/>
    <w:rsid w:val="004B42D7"/>
    <w:rsid w:val="004B6E67"/>
    <w:rsid w:val="004D7BA8"/>
    <w:rsid w:val="004D7F0A"/>
    <w:rsid w:val="004F11CC"/>
    <w:rsid w:val="00550645"/>
    <w:rsid w:val="00554ADA"/>
    <w:rsid w:val="0056103F"/>
    <w:rsid w:val="00571A1B"/>
    <w:rsid w:val="00573046"/>
    <w:rsid w:val="005A5733"/>
    <w:rsid w:val="005A78CE"/>
    <w:rsid w:val="005B7A49"/>
    <w:rsid w:val="005C11B8"/>
    <w:rsid w:val="005D02EF"/>
    <w:rsid w:val="005D0F2A"/>
    <w:rsid w:val="005D7B34"/>
    <w:rsid w:val="005E7A7C"/>
    <w:rsid w:val="005F17BA"/>
    <w:rsid w:val="005F7ED9"/>
    <w:rsid w:val="0060125B"/>
    <w:rsid w:val="00625461"/>
    <w:rsid w:val="00626B9D"/>
    <w:rsid w:val="00644A4B"/>
    <w:rsid w:val="00657481"/>
    <w:rsid w:val="0067125E"/>
    <w:rsid w:val="00671AEF"/>
    <w:rsid w:val="006728F8"/>
    <w:rsid w:val="006A4428"/>
    <w:rsid w:val="006B2A85"/>
    <w:rsid w:val="006C1616"/>
    <w:rsid w:val="006C2779"/>
    <w:rsid w:val="00707935"/>
    <w:rsid w:val="00720703"/>
    <w:rsid w:val="00736D98"/>
    <w:rsid w:val="007409BD"/>
    <w:rsid w:val="00756A8F"/>
    <w:rsid w:val="00761A43"/>
    <w:rsid w:val="007630E9"/>
    <w:rsid w:val="0076385E"/>
    <w:rsid w:val="00767493"/>
    <w:rsid w:val="00773A2A"/>
    <w:rsid w:val="00776558"/>
    <w:rsid w:val="00786B98"/>
    <w:rsid w:val="007923C5"/>
    <w:rsid w:val="007B0427"/>
    <w:rsid w:val="007B6469"/>
    <w:rsid w:val="007D3558"/>
    <w:rsid w:val="007F491F"/>
    <w:rsid w:val="007F664E"/>
    <w:rsid w:val="007F7D0F"/>
    <w:rsid w:val="00813FD7"/>
    <w:rsid w:val="00823239"/>
    <w:rsid w:val="00842667"/>
    <w:rsid w:val="0084346E"/>
    <w:rsid w:val="00855B4F"/>
    <w:rsid w:val="00857520"/>
    <w:rsid w:val="00876C8A"/>
    <w:rsid w:val="00882DEC"/>
    <w:rsid w:val="008938C5"/>
    <w:rsid w:val="008939AB"/>
    <w:rsid w:val="00895CA6"/>
    <w:rsid w:val="008B1216"/>
    <w:rsid w:val="008B3C86"/>
    <w:rsid w:val="008B4B91"/>
    <w:rsid w:val="008D0975"/>
    <w:rsid w:val="008E116A"/>
    <w:rsid w:val="008E1615"/>
    <w:rsid w:val="008E46AE"/>
    <w:rsid w:val="00923476"/>
    <w:rsid w:val="0092533B"/>
    <w:rsid w:val="0093217C"/>
    <w:rsid w:val="0094370B"/>
    <w:rsid w:val="00950EA4"/>
    <w:rsid w:val="009609FC"/>
    <w:rsid w:val="00965019"/>
    <w:rsid w:val="00981634"/>
    <w:rsid w:val="009972F0"/>
    <w:rsid w:val="009A6AF5"/>
    <w:rsid w:val="009B4559"/>
    <w:rsid w:val="009D0761"/>
    <w:rsid w:val="009D7086"/>
    <w:rsid w:val="009E4BB2"/>
    <w:rsid w:val="009F4C51"/>
    <w:rsid w:val="00A0318C"/>
    <w:rsid w:val="00A167C7"/>
    <w:rsid w:val="00A457AE"/>
    <w:rsid w:val="00A5540F"/>
    <w:rsid w:val="00A61435"/>
    <w:rsid w:val="00A67E99"/>
    <w:rsid w:val="00A70112"/>
    <w:rsid w:val="00AA0E9B"/>
    <w:rsid w:val="00AB5CEB"/>
    <w:rsid w:val="00AC0A2E"/>
    <w:rsid w:val="00AC3B61"/>
    <w:rsid w:val="00AE2CC2"/>
    <w:rsid w:val="00B24723"/>
    <w:rsid w:val="00B520C4"/>
    <w:rsid w:val="00B571B1"/>
    <w:rsid w:val="00B70143"/>
    <w:rsid w:val="00B743C1"/>
    <w:rsid w:val="00B8202E"/>
    <w:rsid w:val="00B82715"/>
    <w:rsid w:val="00B97166"/>
    <w:rsid w:val="00BA66C8"/>
    <w:rsid w:val="00BA68D9"/>
    <w:rsid w:val="00BC5682"/>
    <w:rsid w:val="00C01EDD"/>
    <w:rsid w:val="00C13E49"/>
    <w:rsid w:val="00C34889"/>
    <w:rsid w:val="00C6203D"/>
    <w:rsid w:val="00C65280"/>
    <w:rsid w:val="00C7366E"/>
    <w:rsid w:val="00C847F1"/>
    <w:rsid w:val="00C849C4"/>
    <w:rsid w:val="00C85267"/>
    <w:rsid w:val="00D35C0D"/>
    <w:rsid w:val="00D81B15"/>
    <w:rsid w:val="00D86B5D"/>
    <w:rsid w:val="00D91B57"/>
    <w:rsid w:val="00DB7333"/>
    <w:rsid w:val="00DE3DBD"/>
    <w:rsid w:val="00E14D6E"/>
    <w:rsid w:val="00E45B39"/>
    <w:rsid w:val="00E4649B"/>
    <w:rsid w:val="00E527F0"/>
    <w:rsid w:val="00E62FA7"/>
    <w:rsid w:val="00E67FBB"/>
    <w:rsid w:val="00E701EF"/>
    <w:rsid w:val="00E77B71"/>
    <w:rsid w:val="00E96A48"/>
    <w:rsid w:val="00EA1363"/>
    <w:rsid w:val="00EB5CF3"/>
    <w:rsid w:val="00EC51DC"/>
    <w:rsid w:val="00F13B36"/>
    <w:rsid w:val="00F15986"/>
    <w:rsid w:val="00F21602"/>
    <w:rsid w:val="00F26AB1"/>
    <w:rsid w:val="00F469B9"/>
    <w:rsid w:val="00F52D71"/>
    <w:rsid w:val="00F55B4A"/>
    <w:rsid w:val="00F56437"/>
    <w:rsid w:val="00F61FF7"/>
    <w:rsid w:val="00F63337"/>
    <w:rsid w:val="00F6778B"/>
    <w:rsid w:val="00F921B1"/>
    <w:rsid w:val="00FA57B8"/>
    <w:rsid w:val="00FB466C"/>
    <w:rsid w:val="00FC116F"/>
    <w:rsid w:val="00FC43FA"/>
    <w:rsid w:val="00FC76EA"/>
    <w:rsid w:val="00FD3A96"/>
    <w:rsid w:val="00FE374B"/>
    <w:rsid w:val="00FF4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1E969"/>
  <w15:chartTrackingRefBased/>
  <w15:docId w15:val="{38211DAF-ACCB-4D10-8647-EFA430C4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C86"/>
    <w:pPr>
      <w:ind w:left="720"/>
      <w:contextualSpacing/>
    </w:pPr>
  </w:style>
  <w:style w:type="paragraph" w:styleId="FootnoteText">
    <w:name w:val="footnote text"/>
    <w:basedOn w:val="Normal"/>
    <w:link w:val="FootnoteTextChar"/>
    <w:uiPriority w:val="99"/>
    <w:semiHidden/>
    <w:unhideWhenUsed/>
    <w:rsid w:val="007D35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3558"/>
    <w:rPr>
      <w:sz w:val="20"/>
      <w:szCs w:val="20"/>
    </w:rPr>
  </w:style>
  <w:style w:type="character" w:styleId="FootnoteReference">
    <w:name w:val="footnote reference"/>
    <w:basedOn w:val="DefaultParagraphFont"/>
    <w:uiPriority w:val="99"/>
    <w:semiHidden/>
    <w:unhideWhenUsed/>
    <w:rsid w:val="007D3558"/>
    <w:rPr>
      <w:vertAlign w:val="superscript"/>
    </w:rPr>
  </w:style>
  <w:style w:type="character" w:styleId="Hyperlink">
    <w:name w:val="Hyperlink"/>
    <w:basedOn w:val="DefaultParagraphFont"/>
    <w:uiPriority w:val="99"/>
    <w:unhideWhenUsed/>
    <w:rsid w:val="007D3558"/>
    <w:rPr>
      <w:color w:val="0563C1" w:themeColor="hyperlink"/>
      <w:u w:val="single"/>
    </w:rPr>
  </w:style>
  <w:style w:type="character" w:customStyle="1" w:styleId="UnresolvedMention1">
    <w:name w:val="Unresolved Mention1"/>
    <w:basedOn w:val="DefaultParagraphFont"/>
    <w:uiPriority w:val="99"/>
    <w:semiHidden/>
    <w:unhideWhenUsed/>
    <w:rsid w:val="007D3558"/>
    <w:rPr>
      <w:color w:val="605E5C"/>
      <w:shd w:val="clear" w:color="auto" w:fill="E1DFDD"/>
    </w:rPr>
  </w:style>
  <w:style w:type="paragraph" w:styleId="BalloonText">
    <w:name w:val="Balloon Text"/>
    <w:basedOn w:val="Normal"/>
    <w:link w:val="BalloonTextChar"/>
    <w:uiPriority w:val="99"/>
    <w:semiHidden/>
    <w:unhideWhenUsed/>
    <w:rsid w:val="005D0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F2A"/>
    <w:rPr>
      <w:rFonts w:ascii="Segoe UI" w:hAnsi="Segoe UI" w:cs="Segoe UI"/>
      <w:sz w:val="18"/>
      <w:szCs w:val="18"/>
    </w:rPr>
  </w:style>
  <w:style w:type="character" w:styleId="CommentReference">
    <w:name w:val="annotation reference"/>
    <w:basedOn w:val="DefaultParagraphFont"/>
    <w:uiPriority w:val="99"/>
    <w:semiHidden/>
    <w:unhideWhenUsed/>
    <w:rsid w:val="00720703"/>
    <w:rPr>
      <w:sz w:val="16"/>
      <w:szCs w:val="16"/>
    </w:rPr>
  </w:style>
  <w:style w:type="paragraph" w:styleId="CommentText">
    <w:name w:val="annotation text"/>
    <w:basedOn w:val="Normal"/>
    <w:link w:val="CommentTextChar"/>
    <w:uiPriority w:val="99"/>
    <w:semiHidden/>
    <w:unhideWhenUsed/>
    <w:rsid w:val="00720703"/>
    <w:pPr>
      <w:spacing w:line="240" w:lineRule="auto"/>
    </w:pPr>
    <w:rPr>
      <w:sz w:val="20"/>
      <w:szCs w:val="20"/>
    </w:rPr>
  </w:style>
  <w:style w:type="character" w:customStyle="1" w:styleId="CommentTextChar">
    <w:name w:val="Comment Text Char"/>
    <w:basedOn w:val="DefaultParagraphFont"/>
    <w:link w:val="CommentText"/>
    <w:uiPriority w:val="99"/>
    <w:semiHidden/>
    <w:rsid w:val="00720703"/>
    <w:rPr>
      <w:sz w:val="20"/>
      <w:szCs w:val="20"/>
    </w:rPr>
  </w:style>
  <w:style w:type="paragraph" w:styleId="CommentSubject">
    <w:name w:val="annotation subject"/>
    <w:basedOn w:val="CommentText"/>
    <w:next w:val="CommentText"/>
    <w:link w:val="CommentSubjectChar"/>
    <w:uiPriority w:val="99"/>
    <w:semiHidden/>
    <w:unhideWhenUsed/>
    <w:rsid w:val="00720703"/>
    <w:rPr>
      <w:b/>
      <w:bCs/>
    </w:rPr>
  </w:style>
  <w:style w:type="character" w:customStyle="1" w:styleId="CommentSubjectChar">
    <w:name w:val="Comment Subject Char"/>
    <w:basedOn w:val="CommentTextChar"/>
    <w:link w:val="CommentSubject"/>
    <w:uiPriority w:val="99"/>
    <w:semiHidden/>
    <w:rsid w:val="00720703"/>
    <w:rPr>
      <w:b/>
      <w:bCs/>
      <w:sz w:val="20"/>
      <w:szCs w:val="20"/>
    </w:rPr>
  </w:style>
  <w:style w:type="paragraph" w:styleId="Revision">
    <w:name w:val="Revision"/>
    <w:hidden/>
    <w:uiPriority w:val="99"/>
    <w:semiHidden/>
    <w:rsid w:val="00DB7333"/>
    <w:pPr>
      <w:spacing w:after="0" w:line="240" w:lineRule="auto"/>
    </w:pPr>
  </w:style>
  <w:style w:type="paragraph" w:styleId="Header">
    <w:name w:val="header"/>
    <w:basedOn w:val="Normal"/>
    <w:link w:val="HeaderChar"/>
    <w:uiPriority w:val="99"/>
    <w:unhideWhenUsed/>
    <w:rsid w:val="002A0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D30"/>
  </w:style>
  <w:style w:type="paragraph" w:styleId="Footer">
    <w:name w:val="footer"/>
    <w:basedOn w:val="Normal"/>
    <w:link w:val="FooterChar"/>
    <w:uiPriority w:val="99"/>
    <w:unhideWhenUsed/>
    <w:rsid w:val="002A0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D30"/>
  </w:style>
  <w:style w:type="character" w:styleId="FollowedHyperlink">
    <w:name w:val="FollowedHyperlink"/>
    <w:basedOn w:val="DefaultParagraphFont"/>
    <w:uiPriority w:val="99"/>
    <w:semiHidden/>
    <w:unhideWhenUsed/>
    <w:rsid w:val="00B971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odi.org/publications/11238-local-possible-international-necessary-understanding-capacity-and-complementarity-humanitarian" TargetMode="External"/><Relationship Id="rId2" Type="http://schemas.openxmlformats.org/officeDocument/2006/relationships/hyperlink" Target="https://www.odi.org/publications/11251-capacity-and-complementarity-rohingya-response-bangladesh" TargetMode="External"/><Relationship Id="rId1" Type="http://schemas.openxmlformats.org/officeDocument/2006/relationships/hyperlink" Target="https://www.odi.org/sites/odi.org.uk/files/resource-documents/12683.pdf" TargetMode="External"/><Relationship Id="rId4" Type="http://schemas.openxmlformats.org/officeDocument/2006/relationships/hyperlink" Target="https://www.odi.org/sites/odi.org.uk/files/resource-documents/1273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3B5FCB1F5A27479A81E0AC3152C265" ma:contentTypeVersion="12" ma:contentTypeDescription="Create a new document." ma:contentTypeScope="" ma:versionID="e5e1d12c9927af38f21bfa78ef84b74d">
  <xsd:schema xmlns:xsd="http://www.w3.org/2001/XMLSchema" xmlns:xs="http://www.w3.org/2001/XMLSchema" xmlns:p="http://schemas.microsoft.com/office/2006/metadata/properties" xmlns:ns2="b77cb89f-b9e6-4931-9f56-1625ecea4cc2" xmlns:ns3="9050ad3a-5f6e-4ef7-872e-a5e19a831b67" targetNamespace="http://schemas.microsoft.com/office/2006/metadata/properties" ma:root="true" ma:fieldsID="0c8f678c5a0fb2e020a983c45e0a5a3d" ns2:_="" ns3:_="">
    <xsd:import namespace="b77cb89f-b9e6-4931-9f56-1625ecea4cc2"/>
    <xsd:import namespace="9050ad3a-5f6e-4ef7-872e-a5e19a831b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cb89f-b9e6-4931-9f56-1625ecea4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50ad3a-5f6e-4ef7-872e-a5e19a831b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CF72F4-F0EC-4C63-BCC9-88120BC14935}">
  <ds:schemaRefs>
    <ds:schemaRef ds:uri="http://schemas.openxmlformats.org/officeDocument/2006/bibliography"/>
  </ds:schemaRefs>
</ds:datastoreItem>
</file>

<file path=customXml/itemProps2.xml><?xml version="1.0" encoding="utf-8"?>
<ds:datastoreItem xmlns:ds="http://schemas.openxmlformats.org/officeDocument/2006/customXml" ds:itemID="{8775F0F4-9C06-4A88-A7D7-626805C01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75BF8B-6707-4869-9664-18F089BF2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cb89f-b9e6-4931-9f56-1625ecea4cc2"/>
    <ds:schemaRef ds:uri="9050ad3a-5f6e-4ef7-872e-a5e19a831b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691255-C794-4177-93DE-1F2040372A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1149</Words>
  <Characters>6553</Characters>
  <Application>Microsoft Office Word</Application>
  <DocSecurity>0</DocSecurity>
  <Lines>54</Lines>
  <Paragraphs>15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Bryant</dc:creator>
  <cp:keywords/>
  <dc:description/>
  <cp:lastModifiedBy>Florence MAROT</cp:lastModifiedBy>
  <cp:revision>9</cp:revision>
  <cp:lastPrinted>2019-10-14T18:08:00Z</cp:lastPrinted>
  <dcterms:created xsi:type="dcterms:W3CDTF">2020-07-14T14:30:00Z</dcterms:created>
  <dcterms:modified xsi:type="dcterms:W3CDTF">2020-07-15T14:06:00Z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0x010100623B5FCB1F5A27479A81E0AC3152C265</vt:lpwstr>
  </property>
</Properties>
</file>