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86A18" w14:textId="77777777" w:rsidR="008B3C86" w:rsidRPr="00671AEF" w:rsidRDefault="00671AEF" w:rsidP="00671AEF">
      <w:pPr>
        <w:jc w:val="center"/>
        <w:rPr>
          <w:b/>
        </w:rPr>
      </w:pPr>
      <w:bookmarkStart w:id="0" w:name="_GoBack"/>
      <w:bookmarkEnd w:id="0"/>
      <w:r w:rsidRPr="00671AEF">
        <w:rPr>
          <w:b/>
        </w:rPr>
        <w:t>Guidance note on capacity strengthening for localisation</w:t>
      </w:r>
    </w:p>
    <w:p w14:paraId="767AD815" w14:textId="0BE2E9F5" w:rsidR="008B3C86" w:rsidRDefault="00C65280">
      <w:r>
        <w:t>The World Humanitarian Summit pledged in 2016 that humanitarian responses should be ‘as local as possible, as international as necessary’</w:t>
      </w:r>
      <w:r w:rsidR="004D7F0A">
        <w:t xml:space="preserve">. Yet </w:t>
      </w:r>
      <w:r>
        <w:t xml:space="preserve">a key challenge to meeting this goal </w:t>
      </w:r>
      <w:r w:rsidR="00965019">
        <w:t>lies in how the sector currently recognises, assesses and strengthens</w:t>
      </w:r>
      <w:r>
        <w:t xml:space="preserve"> the respective capacities of local and international response actors.</w:t>
      </w:r>
      <w:r w:rsidR="002A182B">
        <w:t xml:space="preserve"> </w:t>
      </w:r>
      <w:r w:rsidR="003503A5">
        <w:t xml:space="preserve">Far from a technical </w:t>
      </w:r>
      <w:r w:rsidR="0031005C">
        <w:t>exercise</w:t>
      </w:r>
      <w:r w:rsidR="003503A5">
        <w:t xml:space="preserve">, capacity </w:t>
      </w:r>
      <w:r w:rsidR="0031005C">
        <w:t xml:space="preserve">strengthening </w:t>
      </w:r>
      <w:r w:rsidR="003503A5">
        <w:t xml:space="preserve">is </w:t>
      </w:r>
      <w:r w:rsidR="0031005C">
        <w:t xml:space="preserve">a process </w:t>
      </w:r>
      <w:r w:rsidR="003503A5">
        <w:t>intertwined with issues of power dynamics, trust deficits and perceptions of legitimacy</w:t>
      </w:r>
      <w:r w:rsidR="008E46AE">
        <w:t xml:space="preserve"> and abilities</w:t>
      </w:r>
      <w:r w:rsidR="003503A5">
        <w:t xml:space="preserve">. </w:t>
      </w:r>
      <w:r w:rsidR="007D3558">
        <w:t>Rather than reinforcing the status quo, how</w:t>
      </w:r>
      <w:r w:rsidR="002A182B">
        <w:t xml:space="preserve"> could </w:t>
      </w:r>
      <w:r w:rsidR="00657481">
        <w:t xml:space="preserve">capacity strengthening </w:t>
      </w:r>
      <w:r w:rsidR="002D0DC2">
        <w:t>be made to support a humanitarian response that is more localised?</w:t>
      </w:r>
    </w:p>
    <w:p w14:paraId="3417F5DA" w14:textId="70EF685D" w:rsidR="007923C5" w:rsidRDefault="001F36D3">
      <w:r>
        <w:t xml:space="preserve">This guidance note </w:t>
      </w:r>
      <w:r w:rsidR="00FC76EA">
        <w:t xml:space="preserve">collates recommendations on capacity </w:t>
      </w:r>
      <w:r w:rsidR="007D3558">
        <w:t xml:space="preserve">strengthening </w:t>
      </w:r>
      <w:r w:rsidR="00FC76EA">
        <w:t xml:space="preserve">from the participants of three regional workshops conducted by the IFRC </w:t>
      </w:r>
      <w:r w:rsidR="008E46AE">
        <w:t xml:space="preserve">and SDC </w:t>
      </w:r>
      <w:r w:rsidR="00FC76EA">
        <w:t xml:space="preserve">as part of the Grand Bargain Localisation Workstream, including representatives of local </w:t>
      </w:r>
      <w:r w:rsidR="008E46AE">
        <w:t xml:space="preserve">and national </w:t>
      </w:r>
      <w:r w:rsidR="00FC76EA">
        <w:t>NGOs, international NGOs, government</w:t>
      </w:r>
      <w:r w:rsidR="008E46AE">
        <w:t xml:space="preserve"> and regional donors,</w:t>
      </w:r>
      <w:r w:rsidR="00FC76EA">
        <w:t xml:space="preserve"> and UN agencies. It also includes key findings from a research project carried out by the Humanitarian Policy Group of ODI between 2017 and 2019</w:t>
      </w:r>
      <w:r w:rsidR="00313B48">
        <w:t xml:space="preserve"> that explored </w:t>
      </w:r>
      <w:r w:rsidR="00F13B36">
        <w:t xml:space="preserve">the issue of capacity and complementarity between local and international actors, including how </w:t>
      </w:r>
      <w:r w:rsidR="004D7F0A">
        <w:t>capacity could be better understood and applied to support more collaborative responses</w:t>
      </w:r>
      <w:r w:rsidR="007D3558">
        <w:rPr>
          <w:rStyle w:val="FootnoteReference"/>
        </w:rPr>
        <w:footnoteReference w:id="1"/>
      </w:r>
      <w:r w:rsidR="004D7F0A">
        <w:t xml:space="preserve">. </w:t>
      </w:r>
      <w:r w:rsidR="008E1615">
        <w:t xml:space="preserve">The study </w:t>
      </w:r>
      <w:r w:rsidR="00981634">
        <w:t xml:space="preserve">and its thematic recommendations </w:t>
      </w:r>
      <w:r w:rsidR="008E1615">
        <w:t>w</w:t>
      </w:r>
      <w:r w:rsidR="00981634">
        <w:t>ere</w:t>
      </w:r>
      <w:r w:rsidR="008E1615">
        <w:t xml:space="preserve"> divided into three key areas:</w:t>
      </w:r>
    </w:p>
    <w:p w14:paraId="163F6D16" w14:textId="77777777" w:rsidR="008B3C86" w:rsidRPr="00671AEF" w:rsidRDefault="008B3C86">
      <w:pPr>
        <w:rPr>
          <w:b/>
        </w:rPr>
      </w:pPr>
      <w:r w:rsidRPr="00671AEF">
        <w:rPr>
          <w:b/>
        </w:rPr>
        <w:t>Defining capacity</w:t>
      </w:r>
    </w:p>
    <w:p w14:paraId="1A48A402" w14:textId="2E414D4C" w:rsidR="008E1615" w:rsidRDefault="008E1615" w:rsidP="008E1615">
      <w:pPr>
        <w:pStyle w:val="ListParagraph"/>
        <w:numPr>
          <w:ilvl w:val="0"/>
          <w:numId w:val="4"/>
        </w:numPr>
      </w:pPr>
      <w:r>
        <w:t xml:space="preserve">The capacity needed to alleviate human suffering should be defined in relation to specific contexts and crises, and includes the </w:t>
      </w:r>
      <w:r w:rsidR="000E2A36" w:rsidRPr="000E2A36">
        <w:t>knowledge of context as well as technical skills.</w:t>
      </w:r>
      <w:r w:rsidR="00BA66C8">
        <w:t xml:space="preserve"> </w:t>
      </w:r>
      <w:r w:rsidR="005D0F2A">
        <w:t>Developing</w:t>
      </w:r>
      <w:r w:rsidR="00BA66C8">
        <w:t xml:space="preserve"> an understanding of what </w:t>
      </w:r>
      <w:r w:rsidR="005D0F2A">
        <w:t xml:space="preserve">capacity entails </w:t>
      </w:r>
      <w:r w:rsidR="00BA66C8">
        <w:t>in specific crises needs to be an inclusive process that involves local actors</w:t>
      </w:r>
      <w:r>
        <w:t xml:space="preserve"> through </w:t>
      </w:r>
      <w:r w:rsidR="008E46AE">
        <w:t>meaningful engagement</w:t>
      </w:r>
      <w:r>
        <w:t>.</w:t>
      </w:r>
    </w:p>
    <w:p w14:paraId="6FC8B159" w14:textId="7420C48E" w:rsidR="005A5733" w:rsidRDefault="005A5733" w:rsidP="00BA66C8">
      <w:pPr>
        <w:pStyle w:val="ListParagraph"/>
        <w:numPr>
          <w:ilvl w:val="0"/>
          <w:numId w:val="4"/>
        </w:numPr>
      </w:pPr>
      <w:r>
        <w:t>Term</w:t>
      </w:r>
      <w:r w:rsidR="005D0F2A">
        <w:t>inology</w:t>
      </w:r>
      <w:r>
        <w:t xml:space="preserve"> matter</w:t>
      </w:r>
      <w:r w:rsidR="005D0F2A">
        <w:t>s. C</w:t>
      </w:r>
      <w:r>
        <w:t xml:space="preserve">apacity is </w:t>
      </w:r>
      <w:r w:rsidR="005D0F2A">
        <w:t xml:space="preserve">usually </w:t>
      </w:r>
      <w:r>
        <w:t xml:space="preserve">defined as ‘lacking’ </w:t>
      </w:r>
      <w:r w:rsidR="00190036">
        <w:t>and needing to be ‘built’</w:t>
      </w:r>
      <w:r w:rsidR="00BA66C8">
        <w:t xml:space="preserve">. </w:t>
      </w:r>
      <w:r w:rsidR="00B8202E">
        <w:t xml:space="preserve">Instead, the terms </w:t>
      </w:r>
      <w:r w:rsidR="005D0F2A">
        <w:t>‘</w:t>
      </w:r>
      <w:r w:rsidR="00B8202E">
        <w:t>c</w:t>
      </w:r>
      <w:r w:rsidR="00BA66C8">
        <w:t>apacity strengthening</w:t>
      </w:r>
      <w:r w:rsidR="005D0F2A">
        <w:t>’</w:t>
      </w:r>
      <w:r w:rsidR="00BA66C8">
        <w:t xml:space="preserve"> or </w:t>
      </w:r>
      <w:r w:rsidR="005D0F2A">
        <w:t>‘</w:t>
      </w:r>
      <w:r w:rsidR="00BA66C8">
        <w:t>capacity exchange</w:t>
      </w:r>
      <w:r w:rsidR="005D0F2A">
        <w:t>’</w:t>
      </w:r>
      <w:r w:rsidR="00BA66C8">
        <w:t xml:space="preserve"> acknowledge exist</w:t>
      </w:r>
      <w:r w:rsidR="005D0F2A">
        <w:t>ing</w:t>
      </w:r>
      <w:r w:rsidR="00BA66C8">
        <w:t xml:space="preserve"> skills and assets that </w:t>
      </w:r>
      <w:r w:rsidR="003922DD">
        <w:t>can be supported and shared.</w:t>
      </w:r>
    </w:p>
    <w:p w14:paraId="01488E42" w14:textId="77777777" w:rsidR="008B3C86" w:rsidRPr="00671AEF" w:rsidRDefault="008B3C86">
      <w:pPr>
        <w:rPr>
          <w:b/>
        </w:rPr>
      </w:pPr>
      <w:r w:rsidRPr="00671AEF">
        <w:rPr>
          <w:b/>
        </w:rPr>
        <w:t>Assessing capacity</w:t>
      </w:r>
    </w:p>
    <w:p w14:paraId="5786353E" w14:textId="7F2E62B2" w:rsidR="003F6051" w:rsidRDefault="003F6051" w:rsidP="00223099">
      <w:pPr>
        <w:pStyle w:val="ListParagraph"/>
        <w:numPr>
          <w:ilvl w:val="0"/>
          <w:numId w:val="5"/>
        </w:numPr>
      </w:pPr>
      <w:r w:rsidRPr="003F6051">
        <w:t xml:space="preserve">The </w:t>
      </w:r>
      <w:r w:rsidR="00223099">
        <w:t xml:space="preserve">current </w:t>
      </w:r>
      <w:r w:rsidRPr="003F6051">
        <w:t>process by which different organisations consider th</w:t>
      </w:r>
      <w:r w:rsidR="00223099">
        <w:t>e</w:t>
      </w:r>
      <w:r w:rsidRPr="003F6051">
        <w:t xml:space="preserve"> respective contributions and value</w:t>
      </w:r>
      <w:r w:rsidR="00223099">
        <w:t xml:space="preserve"> of others is largely limited to that of international organisations assessing local organisations for the </w:t>
      </w:r>
      <w:r w:rsidRPr="003F6051">
        <w:t>purpose of funding and partnerships</w:t>
      </w:r>
      <w:r w:rsidR="00223099">
        <w:t xml:space="preserve">. </w:t>
      </w:r>
      <w:r w:rsidR="00FE374B">
        <w:t xml:space="preserve">To get beyond risk assessments and capacity gap assessments, a context-wide mapping of existing capacities could inform </w:t>
      </w:r>
      <w:r w:rsidR="006728F8">
        <w:t>the extent to which</w:t>
      </w:r>
      <w:r w:rsidR="00FE374B">
        <w:t xml:space="preserve"> humanitarian action can be </w:t>
      </w:r>
      <w:r w:rsidR="001C0DB0">
        <w:t xml:space="preserve">local </w:t>
      </w:r>
      <w:r w:rsidR="00FE374B">
        <w:t>and how gaps in local capacity could be addressed.</w:t>
      </w:r>
    </w:p>
    <w:p w14:paraId="52B57F5D" w14:textId="0E1FE7AE" w:rsidR="00813FD7" w:rsidRDefault="001C0DB0" w:rsidP="00BC5682">
      <w:pPr>
        <w:pStyle w:val="ListParagraph"/>
        <w:numPr>
          <w:ilvl w:val="0"/>
          <w:numId w:val="4"/>
        </w:numPr>
      </w:pPr>
      <w:r>
        <w:t>Each</w:t>
      </w:r>
      <w:r w:rsidR="00981634">
        <w:t xml:space="preserve"> organisation’s ‘capacity’</w:t>
      </w:r>
      <w:r w:rsidR="008B3C86">
        <w:t xml:space="preserve"> </w:t>
      </w:r>
      <w:r>
        <w:t>is</w:t>
      </w:r>
      <w:r w:rsidR="008B3C86">
        <w:t xml:space="preserve"> dynamic and </w:t>
      </w:r>
      <w:r w:rsidR="00981634">
        <w:t>evolving, and often dependent upon individuals and context</w:t>
      </w:r>
      <w:r w:rsidR="008B3C86">
        <w:t xml:space="preserve">. </w:t>
      </w:r>
      <w:r>
        <w:t>For example, a</w:t>
      </w:r>
      <w:r w:rsidR="008B3C86">
        <w:t xml:space="preserve">n organisation that </w:t>
      </w:r>
      <w:r>
        <w:t xml:space="preserve">has capacity to respond to flooding, </w:t>
      </w:r>
      <w:r w:rsidR="008B3C86">
        <w:t xml:space="preserve">may not </w:t>
      </w:r>
      <w:r>
        <w:t xml:space="preserve">have the capacities needed to respond to an influx of </w:t>
      </w:r>
      <w:r w:rsidR="008B3C86">
        <w:t>refugee</w:t>
      </w:r>
      <w:r>
        <w:t>s</w:t>
      </w:r>
      <w:r w:rsidR="008B3C86">
        <w:t>.</w:t>
      </w:r>
      <w:r w:rsidR="00BC5682">
        <w:t xml:space="preserve"> </w:t>
      </w:r>
      <w:r>
        <w:t xml:space="preserve"> </w:t>
      </w:r>
      <w:r w:rsidR="00981634">
        <w:t xml:space="preserve">It should also be recognised that </w:t>
      </w:r>
      <w:r>
        <w:t xml:space="preserve">every </w:t>
      </w:r>
      <w:r w:rsidR="008B3C86">
        <w:t xml:space="preserve">organisation </w:t>
      </w:r>
      <w:r w:rsidR="000E2A36" w:rsidRPr="000E2A36">
        <w:t>requir</w:t>
      </w:r>
      <w:r>
        <w:t>e</w:t>
      </w:r>
      <w:r w:rsidR="00720703">
        <w:t>s</w:t>
      </w:r>
      <w:r w:rsidR="000E2A36" w:rsidRPr="000E2A36">
        <w:t xml:space="preserve"> investment to grow</w:t>
      </w:r>
      <w:r w:rsidR="00981634">
        <w:t xml:space="preserve"> in a sustainable manner.</w:t>
      </w:r>
    </w:p>
    <w:p w14:paraId="17E3F10C" w14:textId="77777777" w:rsidR="008B3C86" w:rsidRPr="00671AEF" w:rsidRDefault="008B3C86">
      <w:pPr>
        <w:rPr>
          <w:b/>
        </w:rPr>
      </w:pPr>
      <w:r w:rsidRPr="00671AEF">
        <w:rPr>
          <w:b/>
        </w:rPr>
        <w:t>Strengthening capacity</w:t>
      </w:r>
    </w:p>
    <w:p w14:paraId="1EA3202B" w14:textId="3FA294C1" w:rsidR="00BA66C8" w:rsidRDefault="00BA66C8" w:rsidP="00E14D6E">
      <w:pPr>
        <w:pStyle w:val="ListParagraph"/>
        <w:numPr>
          <w:ilvl w:val="0"/>
          <w:numId w:val="3"/>
        </w:numPr>
      </w:pPr>
      <w:r>
        <w:t>Capacity strengthening should be a two-way process, whereby international actors also have the opportunity to learn from local actors, including</w:t>
      </w:r>
      <w:r w:rsidR="00773A2A">
        <w:t xml:space="preserve"> technical skills, operational considerations and a better understanding of the</w:t>
      </w:r>
      <w:r>
        <w:t xml:space="preserve"> </w:t>
      </w:r>
      <w:r w:rsidR="00554ADA">
        <w:t xml:space="preserve">political, social and cultural </w:t>
      </w:r>
      <w:r w:rsidR="00773A2A">
        <w:t>context</w:t>
      </w:r>
      <w:r w:rsidR="00554ADA">
        <w:t>.</w:t>
      </w:r>
    </w:p>
    <w:p w14:paraId="7315DE0C" w14:textId="41E64A8A" w:rsidR="005A5733" w:rsidRDefault="00554ADA" w:rsidP="00E14D6E">
      <w:pPr>
        <w:pStyle w:val="ListParagraph"/>
        <w:numPr>
          <w:ilvl w:val="0"/>
          <w:numId w:val="3"/>
        </w:numPr>
      </w:pPr>
      <w:r>
        <w:lastRenderedPageBreak/>
        <w:t>‘T</w:t>
      </w:r>
      <w:r w:rsidR="00E14D6E">
        <w:t>raining’ is not the only means of</w:t>
      </w:r>
      <w:r>
        <w:t xml:space="preserve"> carrying out</w:t>
      </w:r>
      <w:r w:rsidR="00E14D6E">
        <w:t xml:space="preserve"> </w:t>
      </w:r>
      <w:r w:rsidR="00823239">
        <w:t>capacity strengthening</w:t>
      </w:r>
      <w:r w:rsidR="009D0761">
        <w:t>. M</w:t>
      </w:r>
      <w:r w:rsidR="00823239">
        <w:t xml:space="preserve">any organisations </w:t>
      </w:r>
      <w:r w:rsidR="009D0761">
        <w:t xml:space="preserve">have </w:t>
      </w:r>
      <w:r w:rsidR="00823239">
        <w:t>report</w:t>
      </w:r>
      <w:r w:rsidR="009D0761">
        <w:t>ed</w:t>
      </w:r>
      <w:r w:rsidR="00823239">
        <w:t xml:space="preserve"> successes in shadowing and mentoring initiatives that allow a more organic process of peer-to-peer learning</w:t>
      </w:r>
      <w:r w:rsidR="009D0761">
        <w:t>.</w:t>
      </w:r>
    </w:p>
    <w:p w14:paraId="28F456B1" w14:textId="77777777" w:rsidR="00855B4F" w:rsidRDefault="0036180D" w:rsidP="00981634">
      <w:pPr>
        <w:pStyle w:val="ListParagraph"/>
        <w:numPr>
          <w:ilvl w:val="0"/>
          <w:numId w:val="6"/>
        </w:numPr>
      </w:pPr>
      <w:r>
        <w:t xml:space="preserve">Linked to this, secondment could allow more two-way learning as an alternative to emergency surge teams in times of crises. </w:t>
      </w:r>
      <w:r w:rsidR="00981634">
        <w:t>As far as possible, capacity strengthening should be an activity conducted in advance rather than following a crisis.</w:t>
      </w:r>
    </w:p>
    <w:p w14:paraId="40AE802B" w14:textId="77777777" w:rsidR="008B3C86" w:rsidRDefault="00981634">
      <w:pPr>
        <w:rPr>
          <w:b/>
        </w:rPr>
      </w:pPr>
      <w:r>
        <w:rPr>
          <w:b/>
        </w:rPr>
        <w:t>Recommendations for key actors</w:t>
      </w:r>
    </w:p>
    <w:p w14:paraId="0177D07C" w14:textId="77777777" w:rsidR="008B3C86" w:rsidRDefault="008B3C86" w:rsidP="008B3C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Donors</w:t>
      </w:r>
    </w:p>
    <w:p w14:paraId="6C85D6DF" w14:textId="496BACAB" w:rsidR="00813FD7" w:rsidRDefault="00E527F0" w:rsidP="00813FD7">
      <w:pPr>
        <w:pStyle w:val="ListParagraph"/>
        <w:numPr>
          <w:ilvl w:val="0"/>
          <w:numId w:val="3"/>
        </w:numPr>
      </w:pPr>
      <w:r w:rsidRPr="00E527F0">
        <w:t>Whenever possible, donors should engage directly with local organisations either individually or through consortia or fora representatives, rather than only through international partners or intermediaries</w:t>
      </w:r>
      <w:r>
        <w:t>. This would allow local and national organisations to have more of a direct relationship</w:t>
      </w:r>
      <w:r w:rsidR="00773A2A">
        <w:t xml:space="preserve"> without overburdening donor agencies.</w:t>
      </w:r>
    </w:p>
    <w:p w14:paraId="0BB36E08" w14:textId="1522D3B7" w:rsidR="000E3EB6" w:rsidRDefault="00257093" w:rsidP="00773A2A">
      <w:pPr>
        <w:pStyle w:val="ListParagraph"/>
        <w:numPr>
          <w:ilvl w:val="0"/>
          <w:numId w:val="3"/>
        </w:numPr>
      </w:pPr>
      <w:r>
        <w:t xml:space="preserve">Donors should provide additional </w:t>
      </w:r>
      <w:r w:rsidR="00720703">
        <w:t>flexible</w:t>
      </w:r>
      <w:r w:rsidR="00C13E49">
        <w:t xml:space="preserve"> and unearmarked</w:t>
      </w:r>
      <w:r>
        <w:t xml:space="preserve"> </w:t>
      </w:r>
      <w:r w:rsidR="00720703">
        <w:t xml:space="preserve">multi-year funding to </w:t>
      </w:r>
      <w:r>
        <w:t xml:space="preserve">local organisations to </w:t>
      </w:r>
      <w:r w:rsidR="00720703">
        <w:t>enable them to cover their core costs</w:t>
      </w:r>
      <w:r>
        <w:t xml:space="preserve"> and sustain operations</w:t>
      </w:r>
      <w:r w:rsidR="00C13E49">
        <w:t>.</w:t>
      </w:r>
      <w:r w:rsidR="00773A2A">
        <w:t xml:space="preserve"> </w:t>
      </w:r>
      <w:r w:rsidR="00C13E49">
        <w:t xml:space="preserve">Enabling </w:t>
      </w:r>
      <w:r w:rsidR="000E3EB6">
        <w:t xml:space="preserve">access </w:t>
      </w:r>
      <w:r w:rsidR="00C13E49">
        <w:t xml:space="preserve">to </w:t>
      </w:r>
      <w:r>
        <w:t>such</w:t>
      </w:r>
      <w:r w:rsidR="004B42D7">
        <w:t xml:space="preserve"> funding</w:t>
      </w:r>
      <w:r w:rsidR="00C13E49">
        <w:t xml:space="preserve"> will </w:t>
      </w:r>
      <w:r w:rsidR="00773A2A">
        <w:t xml:space="preserve">also </w:t>
      </w:r>
      <w:r w:rsidR="00C13E49">
        <w:t xml:space="preserve">require donors to ease current restrictions and </w:t>
      </w:r>
      <w:r w:rsidR="000E3EB6">
        <w:t>mitigat</w:t>
      </w:r>
      <w:r w:rsidR="00C13E49">
        <w:t>e</w:t>
      </w:r>
      <w:r w:rsidR="000E3EB6">
        <w:t xml:space="preserve"> the impact of c</w:t>
      </w:r>
      <w:r w:rsidR="005A5733">
        <w:t>ounter-terrorism legislation</w:t>
      </w:r>
      <w:r w:rsidR="00F61FF7">
        <w:t>.</w:t>
      </w:r>
    </w:p>
    <w:p w14:paraId="7D90EDD6" w14:textId="72F837D8" w:rsidR="005A5733" w:rsidRPr="005A5733" w:rsidRDefault="00C13E49" w:rsidP="005A5733">
      <w:pPr>
        <w:pStyle w:val="ListParagraph"/>
        <w:numPr>
          <w:ilvl w:val="0"/>
          <w:numId w:val="3"/>
        </w:numPr>
      </w:pPr>
      <w:r>
        <w:t>In addition to assessing the risks of working with a local org</w:t>
      </w:r>
      <w:r w:rsidR="00142949">
        <w:t>a</w:t>
      </w:r>
      <w:r>
        <w:t>nisation, donors should consider the risks of not investing in strengthening the capacities of local responders.</w:t>
      </w:r>
    </w:p>
    <w:p w14:paraId="3C012F24" w14:textId="77777777" w:rsidR="005A5733" w:rsidRPr="005A5733" w:rsidRDefault="005A5733" w:rsidP="005A5733">
      <w:pPr>
        <w:pStyle w:val="ListParagraph"/>
        <w:rPr>
          <w:b/>
        </w:rPr>
      </w:pPr>
    </w:p>
    <w:p w14:paraId="147A506C" w14:textId="77777777" w:rsidR="008B3C86" w:rsidRDefault="008B3C86" w:rsidP="000E2A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 agencies and INGOs</w:t>
      </w:r>
    </w:p>
    <w:p w14:paraId="336BF8A1" w14:textId="0B27A000" w:rsidR="00015814" w:rsidRDefault="000E2A36" w:rsidP="000E2A36">
      <w:pPr>
        <w:pStyle w:val="ListParagraph"/>
        <w:numPr>
          <w:ilvl w:val="0"/>
          <w:numId w:val="3"/>
        </w:numPr>
      </w:pPr>
      <w:r w:rsidRPr="000E2A36">
        <w:t>INGOs should seek to harmoni</w:t>
      </w:r>
      <w:r w:rsidR="004D7BA8">
        <w:t>s</w:t>
      </w:r>
      <w:r w:rsidRPr="000E2A36">
        <w:t xml:space="preserve">e capacity assessment </w:t>
      </w:r>
      <w:r w:rsidR="004D7BA8">
        <w:t xml:space="preserve">and reporting </w:t>
      </w:r>
      <w:r w:rsidRPr="000E2A36">
        <w:t>requirements</w:t>
      </w:r>
      <w:r w:rsidR="004D7BA8">
        <w:t xml:space="preserve"> for </w:t>
      </w:r>
      <w:r w:rsidRPr="000E2A36">
        <w:t>local organisations</w:t>
      </w:r>
      <w:r w:rsidR="004D7BA8">
        <w:t>.</w:t>
      </w:r>
      <w:r w:rsidR="00FE374B">
        <w:t xml:space="preserve"> </w:t>
      </w:r>
      <w:r w:rsidR="004D7BA8">
        <w:t xml:space="preserve"> For example, i</w:t>
      </w:r>
      <w:r w:rsidR="00FE374B">
        <w:t>nternational actors could agree to accept each other’s assessments</w:t>
      </w:r>
      <w:r w:rsidR="00C847F1">
        <w:t xml:space="preserve">, a process that would start </w:t>
      </w:r>
      <w:r w:rsidR="00F63337">
        <w:t xml:space="preserve">with the development of common minimum standards. </w:t>
      </w:r>
    </w:p>
    <w:p w14:paraId="502E1792" w14:textId="69FDFD24" w:rsidR="006B2A85" w:rsidRDefault="006B2A85" w:rsidP="000E2A36">
      <w:pPr>
        <w:pStyle w:val="ListParagraph"/>
        <w:numPr>
          <w:ilvl w:val="0"/>
          <w:numId w:val="3"/>
        </w:numPr>
      </w:pPr>
      <w:r>
        <w:t xml:space="preserve">International actors </w:t>
      </w:r>
      <w:r w:rsidR="004D7BA8">
        <w:t xml:space="preserve">should encourage </w:t>
      </w:r>
      <w:r w:rsidR="005F17BA">
        <w:t xml:space="preserve">and enable </w:t>
      </w:r>
      <w:r>
        <w:t xml:space="preserve">local organisations </w:t>
      </w:r>
      <w:r w:rsidR="004D7BA8">
        <w:t xml:space="preserve">to </w:t>
      </w:r>
      <w:r w:rsidR="005F17BA">
        <w:t xml:space="preserve">participate </w:t>
      </w:r>
      <w:r w:rsidR="0067125E">
        <w:t>actively</w:t>
      </w:r>
      <w:r w:rsidR="005F17BA">
        <w:t xml:space="preserve"> </w:t>
      </w:r>
      <w:r>
        <w:t>in coordination structures</w:t>
      </w:r>
      <w:r w:rsidR="004D7BA8">
        <w:t xml:space="preserve"> by </w:t>
      </w:r>
      <w:r w:rsidR="005F17BA">
        <w:t xml:space="preserve">holding meetings in local languages or providing translators, </w:t>
      </w:r>
      <w:r w:rsidR="004D7BA8">
        <w:t>ensuring</w:t>
      </w:r>
      <w:r w:rsidR="005F17BA">
        <w:t xml:space="preserve"> meeting venues are easily accessible, including them in decision-making, and addressing any </w:t>
      </w:r>
      <w:r w:rsidR="0067125E">
        <w:t xml:space="preserve">other practices which </w:t>
      </w:r>
      <w:r w:rsidR="005F17BA">
        <w:t>explici</w:t>
      </w:r>
      <w:r w:rsidR="0067125E">
        <w:t>tly</w:t>
      </w:r>
      <w:r w:rsidR="005F17BA">
        <w:t xml:space="preserve"> or implicit</w:t>
      </w:r>
      <w:r w:rsidR="0067125E">
        <w:t>ly</w:t>
      </w:r>
      <w:r w:rsidR="005F17BA">
        <w:t xml:space="preserve"> </w:t>
      </w:r>
      <w:r w:rsidR="0067125E">
        <w:t>impede their meaningful participation</w:t>
      </w:r>
      <w:r w:rsidR="005F17BA">
        <w:t>.</w:t>
      </w:r>
    </w:p>
    <w:p w14:paraId="134B2923" w14:textId="5A9521CA" w:rsidR="005A5733" w:rsidRDefault="0094370B" w:rsidP="000E2A36">
      <w:pPr>
        <w:pStyle w:val="ListParagraph"/>
        <w:numPr>
          <w:ilvl w:val="0"/>
          <w:numId w:val="3"/>
        </w:numPr>
      </w:pPr>
      <w:r>
        <w:t>International actors should also c</w:t>
      </w:r>
      <w:r w:rsidR="005A5733">
        <w:t xml:space="preserve">ritically interrogate </w:t>
      </w:r>
      <w:r>
        <w:t>their</w:t>
      </w:r>
      <w:r w:rsidR="005A5733">
        <w:t xml:space="preserve"> own ability to capacity-strengthen </w:t>
      </w:r>
      <w:r w:rsidR="005F17BA">
        <w:t xml:space="preserve"> </w:t>
      </w:r>
      <w:r w:rsidR="006B2A85">
        <w:t>local organisations</w:t>
      </w:r>
      <w:r w:rsidR="0067125E">
        <w:t>,</w:t>
      </w:r>
      <w:r w:rsidR="00F61FF7">
        <w:t xml:space="preserve"> and</w:t>
      </w:r>
      <w:r w:rsidR="0067125E">
        <w:t xml:space="preserve"> </w:t>
      </w:r>
      <w:r w:rsidR="006B2A85">
        <w:t>look beyond short-term training</w:t>
      </w:r>
      <w:r w:rsidR="00F61FF7">
        <w:t xml:space="preserve"> as a means of carrying this out</w:t>
      </w:r>
      <w:r w:rsidR="0067125E">
        <w:t>.</w:t>
      </w:r>
    </w:p>
    <w:p w14:paraId="4575E92C" w14:textId="7B8F4020" w:rsidR="0036180D" w:rsidRDefault="0036180D" w:rsidP="000E2A36">
      <w:pPr>
        <w:pStyle w:val="ListParagraph"/>
        <w:numPr>
          <w:ilvl w:val="0"/>
          <w:numId w:val="3"/>
        </w:numPr>
      </w:pPr>
      <w:r>
        <w:t xml:space="preserve">Where international actors require a risk or capacity gap assessment to be conducted in order to provide funding and work in partnership, investment </w:t>
      </w:r>
      <w:r w:rsidR="0067125E">
        <w:t xml:space="preserve">should be provided </w:t>
      </w:r>
      <w:r>
        <w:t xml:space="preserve">to address </w:t>
      </w:r>
      <w:r w:rsidR="0067125E">
        <w:t xml:space="preserve">any </w:t>
      </w:r>
      <w:r>
        <w:t>gaps</w:t>
      </w:r>
      <w:r w:rsidR="0067125E">
        <w:t xml:space="preserve"> identified</w:t>
      </w:r>
      <w:r>
        <w:t>.</w:t>
      </w:r>
    </w:p>
    <w:p w14:paraId="577F256F" w14:textId="77777777" w:rsidR="00813FD7" w:rsidRPr="000E2A36" w:rsidRDefault="00813FD7" w:rsidP="00813FD7">
      <w:pPr>
        <w:pStyle w:val="ListParagraph"/>
      </w:pPr>
    </w:p>
    <w:p w14:paraId="43CBF51B" w14:textId="77777777" w:rsidR="008B3C86" w:rsidRDefault="008B3C86" w:rsidP="008B3C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Local and national actors</w:t>
      </w:r>
    </w:p>
    <w:p w14:paraId="0286E83A" w14:textId="50D52588" w:rsidR="00015814" w:rsidRDefault="00776558" w:rsidP="00D35C0D">
      <w:pPr>
        <w:pStyle w:val="ListParagraph"/>
        <w:numPr>
          <w:ilvl w:val="0"/>
          <w:numId w:val="3"/>
        </w:numPr>
      </w:pPr>
      <w:r>
        <w:t>P</w:t>
      </w:r>
      <w:r w:rsidR="00015814">
        <w:t>rior to seeking partnerships</w:t>
      </w:r>
      <w:r>
        <w:t xml:space="preserve">, local and national actors </w:t>
      </w:r>
      <w:r w:rsidR="00255F04">
        <w:t xml:space="preserve">should assess </w:t>
      </w:r>
      <w:r>
        <w:t xml:space="preserve">their </w:t>
      </w:r>
      <w:r w:rsidR="00255F04">
        <w:t xml:space="preserve">own organisational </w:t>
      </w:r>
      <w:r>
        <w:t xml:space="preserve">capacity </w:t>
      </w:r>
      <w:r w:rsidR="00015814">
        <w:t>strengths and weaknesses</w:t>
      </w:r>
      <w:r w:rsidR="00255F04">
        <w:t xml:space="preserve">. </w:t>
      </w:r>
      <w:r w:rsidR="00D35C0D">
        <w:t xml:space="preserve">This will </w:t>
      </w:r>
      <w:r w:rsidR="00255F04">
        <w:t>encourage</w:t>
      </w:r>
      <w:r w:rsidR="00D35C0D">
        <w:t xml:space="preserve"> l</w:t>
      </w:r>
      <w:r w:rsidR="00D35C0D" w:rsidRPr="00D35C0D">
        <w:t xml:space="preserve">ocal NGOs </w:t>
      </w:r>
      <w:r w:rsidR="00255F04">
        <w:t xml:space="preserve">to take ownership </w:t>
      </w:r>
      <w:r w:rsidR="00D35C0D" w:rsidRPr="00D35C0D">
        <w:t xml:space="preserve">of their capacity gaps </w:t>
      </w:r>
      <w:r w:rsidR="007F7D0F">
        <w:t xml:space="preserve">and how to </w:t>
      </w:r>
      <w:r w:rsidR="00255F04">
        <w:t>address</w:t>
      </w:r>
      <w:r w:rsidR="007F7D0F">
        <w:t xml:space="preserve"> them.</w:t>
      </w:r>
    </w:p>
    <w:p w14:paraId="0C879D44" w14:textId="296CDFDF" w:rsidR="005A5733" w:rsidRDefault="00185907" w:rsidP="005A5733">
      <w:pPr>
        <w:pStyle w:val="ListParagraph"/>
        <w:numPr>
          <w:ilvl w:val="0"/>
          <w:numId w:val="3"/>
        </w:numPr>
      </w:pPr>
      <w:r>
        <w:t>Local actors should also u</w:t>
      </w:r>
      <w:r w:rsidR="00823239">
        <w:t>se the power of networks and peer review exchange</w:t>
      </w:r>
      <w:r w:rsidR="009B4559">
        <w:t xml:space="preserve"> to share knowledge and increase </w:t>
      </w:r>
      <w:r>
        <w:t>their</w:t>
      </w:r>
      <w:r w:rsidR="009B4559">
        <w:t xml:space="preserve"> collective voice in advocating for more equitable partnerships and capacity strengthening.</w:t>
      </w:r>
      <w:r>
        <w:t xml:space="preserve"> </w:t>
      </w:r>
      <w:r w:rsidR="008B1216">
        <w:t>Such approaches include</w:t>
      </w:r>
      <w:r w:rsidR="007F7D0F">
        <w:t xml:space="preserve"> </w:t>
      </w:r>
      <w:r w:rsidR="00255F04">
        <w:t xml:space="preserve">Oxfam’s </w:t>
      </w:r>
      <w:r w:rsidR="005A5733" w:rsidRPr="00773A2A">
        <w:rPr>
          <w:i/>
        </w:rPr>
        <w:t>Empowering Local and National Actors</w:t>
      </w:r>
      <w:r w:rsidR="005A5733" w:rsidRPr="005A5733">
        <w:t xml:space="preserve"> programme</w:t>
      </w:r>
      <w:r w:rsidR="003D5A55">
        <w:t>,</w:t>
      </w:r>
      <w:r w:rsidR="005A5733" w:rsidRPr="005A5733">
        <w:t xml:space="preserve"> </w:t>
      </w:r>
      <w:r w:rsidR="00255F04">
        <w:t xml:space="preserve">which </w:t>
      </w:r>
      <w:r w:rsidR="007F7D0F">
        <w:t xml:space="preserve">assesses </w:t>
      </w:r>
      <w:r w:rsidR="003D5A55">
        <w:t>capacities at the level of</w:t>
      </w:r>
      <w:r w:rsidR="007F7D0F">
        <w:t xml:space="preserve"> </w:t>
      </w:r>
      <w:r w:rsidR="005A5733" w:rsidRPr="005A5733">
        <w:t>‘network</w:t>
      </w:r>
      <w:r w:rsidR="002838E7">
        <w:t>s</w:t>
      </w:r>
      <w:r w:rsidR="005A5733" w:rsidRPr="005A5733">
        <w:t xml:space="preserve">’ of </w:t>
      </w:r>
      <w:r w:rsidR="00F61FF7">
        <w:t>organisations in a given context</w:t>
      </w:r>
      <w:r w:rsidR="007F7D0F">
        <w:t>,</w:t>
      </w:r>
      <w:r w:rsidR="005A5733" w:rsidRPr="005A5733">
        <w:t xml:space="preserve"> and conducts joint discussions on capacity gaps and existing expertise </w:t>
      </w:r>
      <w:r w:rsidR="007F7D0F">
        <w:t xml:space="preserve">available across </w:t>
      </w:r>
      <w:r w:rsidR="00F61FF7">
        <w:t>these groups</w:t>
      </w:r>
      <w:r w:rsidR="00F61FF7">
        <w:rPr>
          <w:rStyle w:val="FootnoteReference"/>
        </w:rPr>
        <w:footnoteReference w:id="2"/>
      </w:r>
      <w:r w:rsidR="007F7D0F">
        <w:t>.</w:t>
      </w:r>
    </w:p>
    <w:sectPr w:rsidR="005A5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6F3CE" w14:textId="77777777" w:rsidR="00FE2B32" w:rsidRDefault="00FE2B32" w:rsidP="007D3558">
      <w:pPr>
        <w:spacing w:after="0" w:line="240" w:lineRule="auto"/>
      </w:pPr>
      <w:r>
        <w:separator/>
      </w:r>
    </w:p>
  </w:endnote>
  <w:endnote w:type="continuationSeparator" w:id="0">
    <w:p w14:paraId="4F95B14C" w14:textId="77777777" w:rsidR="00FE2B32" w:rsidRDefault="00FE2B32" w:rsidP="007D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00DA8" w14:textId="77777777" w:rsidR="00FE2B32" w:rsidRDefault="00FE2B32" w:rsidP="007D3558">
      <w:pPr>
        <w:spacing w:after="0" w:line="240" w:lineRule="auto"/>
      </w:pPr>
      <w:r>
        <w:separator/>
      </w:r>
    </w:p>
  </w:footnote>
  <w:footnote w:type="continuationSeparator" w:id="0">
    <w:p w14:paraId="3D774ABC" w14:textId="77777777" w:rsidR="00FE2B32" w:rsidRDefault="00FE2B32" w:rsidP="007D3558">
      <w:pPr>
        <w:spacing w:after="0" w:line="240" w:lineRule="auto"/>
      </w:pPr>
      <w:r>
        <w:continuationSeparator/>
      </w:r>
    </w:p>
  </w:footnote>
  <w:footnote w:id="1">
    <w:p w14:paraId="49A8E2EA" w14:textId="77777777" w:rsidR="007D3558" w:rsidRDefault="007D35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3558">
        <w:t xml:space="preserve">The project drew upon case study findings from the conflict in South Kivu and Kasai Central in the </w:t>
      </w:r>
      <w:hyperlink r:id="rId1" w:history="1">
        <w:r w:rsidRPr="007D3558">
          <w:rPr>
            <w:rStyle w:val="Hyperlink"/>
          </w:rPr>
          <w:t>Democratic Republic of the Congo</w:t>
        </w:r>
      </w:hyperlink>
      <w:r w:rsidRPr="007D3558">
        <w:t xml:space="preserve"> (DRC) and the Rohingya refugee crisis in </w:t>
      </w:r>
      <w:hyperlink r:id="rId2" w:history="1">
        <w:r w:rsidRPr="00A5540F">
          <w:rPr>
            <w:rStyle w:val="Hyperlink"/>
          </w:rPr>
          <w:t>Bangladesh</w:t>
        </w:r>
      </w:hyperlink>
      <w:r w:rsidR="00A5540F">
        <w:t xml:space="preserve">, as well as a </w:t>
      </w:r>
      <w:hyperlink r:id="rId3" w:history="1">
        <w:r w:rsidR="00A5540F" w:rsidRPr="00A5540F">
          <w:rPr>
            <w:rStyle w:val="Hyperlink"/>
          </w:rPr>
          <w:t>literature review</w:t>
        </w:r>
      </w:hyperlink>
      <w:r w:rsidR="00A5540F">
        <w:t>.</w:t>
      </w:r>
    </w:p>
  </w:footnote>
  <w:footnote w:id="2">
    <w:p w14:paraId="2B705EC5" w14:textId="20305220" w:rsidR="00F61FF7" w:rsidRDefault="00F61FF7">
      <w:pPr>
        <w:pStyle w:val="FootnoteText"/>
      </w:pPr>
      <w:r>
        <w:rPr>
          <w:rStyle w:val="FootnoteReference"/>
        </w:rPr>
        <w:footnoteRef/>
      </w:r>
      <w:r>
        <w:t xml:space="preserve"> Further examples of effective capacity strengthening approaches to further more localised humanitarian responses can be found in section 3.2 of the </w:t>
      </w:r>
      <w:hyperlink r:id="rId4" w:history="1">
        <w:r w:rsidRPr="00F61FF7">
          <w:rPr>
            <w:rStyle w:val="Hyperlink"/>
          </w:rPr>
          <w:t>Grand Bargain annual independent report 2019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21"/>
    <w:multiLevelType w:val="hybridMultilevel"/>
    <w:tmpl w:val="C8168E78"/>
    <w:lvl w:ilvl="0" w:tplc="501E1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9E6"/>
    <w:multiLevelType w:val="hybridMultilevel"/>
    <w:tmpl w:val="A0648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A073D"/>
    <w:multiLevelType w:val="hybridMultilevel"/>
    <w:tmpl w:val="91B66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857A0"/>
    <w:multiLevelType w:val="hybridMultilevel"/>
    <w:tmpl w:val="5EB4B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F6006"/>
    <w:multiLevelType w:val="hybridMultilevel"/>
    <w:tmpl w:val="0302A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73774"/>
    <w:multiLevelType w:val="hybridMultilevel"/>
    <w:tmpl w:val="62E8D2A4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6"/>
    <w:rsid w:val="00015814"/>
    <w:rsid w:val="00067D41"/>
    <w:rsid w:val="000D0482"/>
    <w:rsid w:val="000E2A36"/>
    <w:rsid w:val="000E3EB6"/>
    <w:rsid w:val="00142949"/>
    <w:rsid w:val="00185907"/>
    <w:rsid w:val="00190036"/>
    <w:rsid w:val="001C0DB0"/>
    <w:rsid w:val="001C2524"/>
    <w:rsid w:val="001F36D3"/>
    <w:rsid w:val="00223099"/>
    <w:rsid w:val="00255F04"/>
    <w:rsid w:val="0025689F"/>
    <w:rsid w:val="00257093"/>
    <w:rsid w:val="002838E7"/>
    <w:rsid w:val="002A182B"/>
    <w:rsid w:val="002C69F5"/>
    <w:rsid w:val="002D0DC2"/>
    <w:rsid w:val="0031005C"/>
    <w:rsid w:val="00313B48"/>
    <w:rsid w:val="00325D30"/>
    <w:rsid w:val="003503A5"/>
    <w:rsid w:val="00350FA2"/>
    <w:rsid w:val="0036180D"/>
    <w:rsid w:val="003922DD"/>
    <w:rsid w:val="003D5A55"/>
    <w:rsid w:val="003F6051"/>
    <w:rsid w:val="00485EB9"/>
    <w:rsid w:val="004B42D7"/>
    <w:rsid w:val="004D7BA8"/>
    <w:rsid w:val="004D7F0A"/>
    <w:rsid w:val="00554ADA"/>
    <w:rsid w:val="00573046"/>
    <w:rsid w:val="005A5733"/>
    <w:rsid w:val="005A78CE"/>
    <w:rsid w:val="005B7A49"/>
    <w:rsid w:val="005D02EF"/>
    <w:rsid w:val="005D0F2A"/>
    <w:rsid w:val="005F17BA"/>
    <w:rsid w:val="00657481"/>
    <w:rsid w:val="0067125E"/>
    <w:rsid w:val="00671AEF"/>
    <w:rsid w:val="006728F8"/>
    <w:rsid w:val="006B2A85"/>
    <w:rsid w:val="00720703"/>
    <w:rsid w:val="0076385E"/>
    <w:rsid w:val="00767493"/>
    <w:rsid w:val="00773A2A"/>
    <w:rsid w:val="00776558"/>
    <w:rsid w:val="0078588E"/>
    <w:rsid w:val="007923C5"/>
    <w:rsid w:val="007B0427"/>
    <w:rsid w:val="007D3558"/>
    <w:rsid w:val="007F664E"/>
    <w:rsid w:val="007F7D0F"/>
    <w:rsid w:val="00813FD7"/>
    <w:rsid w:val="00823239"/>
    <w:rsid w:val="00855B4F"/>
    <w:rsid w:val="00882DEC"/>
    <w:rsid w:val="008B1216"/>
    <w:rsid w:val="008B3C86"/>
    <w:rsid w:val="008E1615"/>
    <w:rsid w:val="008E46AE"/>
    <w:rsid w:val="0094370B"/>
    <w:rsid w:val="00965019"/>
    <w:rsid w:val="00981634"/>
    <w:rsid w:val="009A6AF5"/>
    <w:rsid w:val="009B4559"/>
    <w:rsid w:val="009D0761"/>
    <w:rsid w:val="00A0318C"/>
    <w:rsid w:val="00A167C7"/>
    <w:rsid w:val="00A5540F"/>
    <w:rsid w:val="00B24723"/>
    <w:rsid w:val="00B8202E"/>
    <w:rsid w:val="00BA66C8"/>
    <w:rsid w:val="00BC5682"/>
    <w:rsid w:val="00C13E49"/>
    <w:rsid w:val="00C65280"/>
    <w:rsid w:val="00C7366E"/>
    <w:rsid w:val="00C847F1"/>
    <w:rsid w:val="00C849C4"/>
    <w:rsid w:val="00C85267"/>
    <w:rsid w:val="00D35C0D"/>
    <w:rsid w:val="00D91B57"/>
    <w:rsid w:val="00DB7333"/>
    <w:rsid w:val="00E14D6E"/>
    <w:rsid w:val="00E527F0"/>
    <w:rsid w:val="00F13B36"/>
    <w:rsid w:val="00F15986"/>
    <w:rsid w:val="00F52D71"/>
    <w:rsid w:val="00F61FF7"/>
    <w:rsid w:val="00F63337"/>
    <w:rsid w:val="00FC76EA"/>
    <w:rsid w:val="00FE2B32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E969"/>
  <w15:chartTrackingRefBased/>
  <w15:docId w15:val="{38211DAF-ACCB-4D10-8647-EFA430C4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35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35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3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5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7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di.org/publications/11238-local-possible-international-necessary-understanding-capacity-and-complementarity-humanitarian" TargetMode="External"/><Relationship Id="rId2" Type="http://schemas.openxmlformats.org/officeDocument/2006/relationships/hyperlink" Target="https://www.odi.org/publications/11251-capacity-and-complementarity-rohingya-response-bangladesh" TargetMode="External"/><Relationship Id="rId1" Type="http://schemas.openxmlformats.org/officeDocument/2006/relationships/hyperlink" Target="https://www.odi.org/publications/11292-local-humanitarian-action-democratic-republic-congo-capacity-and-complementarity" TargetMode="External"/><Relationship Id="rId4" Type="http://schemas.openxmlformats.org/officeDocument/2006/relationships/hyperlink" Target="https://www.odi.org/sites/odi.org.uk/files/resource-documents/127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56D79E9-AB3D-E748-BBBC-5E128394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David FISHER</cp:lastModifiedBy>
  <cp:revision>2</cp:revision>
  <dcterms:created xsi:type="dcterms:W3CDTF">2019-08-19T17:46:00Z</dcterms:created>
  <dcterms:modified xsi:type="dcterms:W3CDTF">2019-08-19T17:46:00Z</dcterms:modified>
</cp:coreProperties>
</file>